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7BF3" w:rsidRPr="00760530" w:rsidRDefault="00B47BF3" w:rsidP="00B47BF3">
      <w:pPr>
        <w:pStyle w:val="3GPPHeader"/>
        <w:spacing w:after="60"/>
        <w:rPr>
          <w:sz w:val="32"/>
          <w:szCs w:val="32"/>
          <w:highlight w:val="yellow"/>
        </w:rPr>
      </w:pPr>
      <w:r w:rsidRPr="003D7A16">
        <w:t>3GPP TSG RAN WG1 #10</w:t>
      </w:r>
      <w:r>
        <w:t>4-e</w:t>
      </w:r>
      <w:r w:rsidRPr="00760530">
        <w:tab/>
      </w:r>
      <w:r w:rsidRPr="00760530">
        <w:rPr>
          <w:sz w:val="32"/>
          <w:szCs w:val="32"/>
        </w:rPr>
        <w:t xml:space="preserve">Tdoc </w:t>
      </w:r>
      <w:r w:rsidRPr="00FD4C58">
        <w:rPr>
          <w:sz w:val="32"/>
          <w:szCs w:val="32"/>
        </w:rPr>
        <w:t>R1-2101558</w:t>
      </w:r>
    </w:p>
    <w:p w:rsidR="00B47BF3" w:rsidRPr="00CC03EE" w:rsidRDefault="00B47BF3" w:rsidP="00B47BF3">
      <w:pPr>
        <w:pStyle w:val="3GPPHeader"/>
      </w:pPr>
      <w:r w:rsidRPr="003D7A16">
        <w:t xml:space="preserve">e-Meeting, </w:t>
      </w:r>
      <w:r>
        <w:t>Jan</w:t>
      </w:r>
      <w:r w:rsidRPr="003D7A16">
        <w:t xml:space="preserve"> 2</w:t>
      </w:r>
      <w:r>
        <w:t>5</w:t>
      </w:r>
      <w:r w:rsidRPr="003D7A16">
        <w:t xml:space="preserve">th – </w:t>
      </w:r>
      <w:r>
        <w:t>Feb 5</w:t>
      </w:r>
      <w:r w:rsidRPr="003D7A16">
        <w:t>th, 202</w:t>
      </w:r>
      <w:r>
        <w:t>1</w:t>
      </w:r>
    </w:p>
    <w:p w:rsidR="00B47BF3" w:rsidRPr="00CC03EE" w:rsidRDefault="00B47BF3" w:rsidP="00B47BF3">
      <w:pPr>
        <w:pStyle w:val="3GPPHeader"/>
      </w:pPr>
    </w:p>
    <w:p w:rsidR="00B47BF3" w:rsidRPr="00CC03EE" w:rsidRDefault="00B47BF3" w:rsidP="00B47BF3">
      <w:pPr>
        <w:pStyle w:val="3GPPHeader"/>
        <w:spacing w:after="0"/>
        <w:rPr>
          <w:sz w:val="22"/>
        </w:rPr>
      </w:pPr>
      <w:r w:rsidRPr="0069336C">
        <w:rPr>
          <w:sz w:val="22"/>
        </w:rPr>
        <w:t>Agenda Item:</w:t>
      </w:r>
      <w:r w:rsidRPr="0069336C">
        <w:rPr>
          <w:sz w:val="22"/>
        </w:rPr>
        <w:tab/>
        <w:t>8.7.2</w:t>
      </w:r>
      <w:r w:rsidRPr="00CC03EE">
        <w:rPr>
          <w:sz w:val="22"/>
        </w:rPr>
        <w:t xml:space="preserve"> </w:t>
      </w:r>
    </w:p>
    <w:p w:rsidR="00B47BF3" w:rsidRPr="00760530" w:rsidRDefault="00B47BF3" w:rsidP="00B47BF3">
      <w:pPr>
        <w:pStyle w:val="3GPPHeader"/>
        <w:spacing w:after="0"/>
        <w:rPr>
          <w:sz w:val="22"/>
        </w:rPr>
      </w:pPr>
      <w:r w:rsidRPr="00760530">
        <w:rPr>
          <w:sz w:val="22"/>
        </w:rPr>
        <w:t>Source:</w:t>
      </w:r>
      <w:r w:rsidRPr="00760530">
        <w:rPr>
          <w:sz w:val="22"/>
        </w:rPr>
        <w:tab/>
        <w:t>Ericsson</w:t>
      </w:r>
    </w:p>
    <w:p w:rsidR="00B47BF3" w:rsidRPr="00760530" w:rsidRDefault="00B47BF3" w:rsidP="00B47BF3">
      <w:pPr>
        <w:pStyle w:val="3GPPHeader"/>
        <w:spacing w:after="0"/>
        <w:rPr>
          <w:sz w:val="22"/>
        </w:rPr>
      </w:pPr>
      <w:r w:rsidRPr="00760530">
        <w:rPr>
          <w:sz w:val="22"/>
        </w:rPr>
        <w:t>Title:</w:t>
      </w:r>
      <w:r w:rsidRPr="00760530">
        <w:rPr>
          <w:sz w:val="22"/>
        </w:rPr>
        <w:tab/>
      </w:r>
      <w:r w:rsidRPr="00FD4C58">
        <w:rPr>
          <w:sz w:val="22"/>
        </w:rPr>
        <w:t>Design of active time power savings mechanisms</w:t>
      </w:r>
    </w:p>
    <w:p w:rsidR="00B47BF3" w:rsidRDefault="00B47BF3" w:rsidP="00B47BF3">
      <w:pPr>
        <w:pStyle w:val="3GPPHeader"/>
        <w:spacing w:after="0"/>
        <w:rPr>
          <w:sz w:val="22"/>
        </w:rPr>
      </w:pPr>
      <w:r w:rsidRPr="00760530">
        <w:rPr>
          <w:sz w:val="22"/>
        </w:rPr>
        <w:t>Document for:</w:t>
      </w:r>
      <w:r w:rsidRPr="00760530">
        <w:rPr>
          <w:sz w:val="22"/>
        </w:rPr>
        <w:tab/>
        <w:t>Discussion and Decision</w:t>
      </w:r>
    </w:p>
    <w:p w:rsidR="00B47BF3" w:rsidRPr="00760530" w:rsidRDefault="00B47BF3" w:rsidP="00B47BF3">
      <w:pPr>
        <w:pStyle w:val="3GPPHeader"/>
        <w:spacing w:after="0"/>
        <w:rPr>
          <w:sz w:val="22"/>
        </w:rPr>
      </w:pPr>
    </w:p>
    <w:p w:rsidR="00B47BF3" w:rsidRPr="005F577B" w:rsidRDefault="00B47BF3" w:rsidP="00B47BF3">
      <w:pPr>
        <w:pStyle w:val="Heading1"/>
        <w:rPr>
          <w:lang w:val="en-US"/>
        </w:rPr>
      </w:pPr>
      <w:r>
        <w:t>1</w:t>
      </w:r>
      <w:r>
        <w:tab/>
      </w:r>
      <w:r w:rsidRPr="005F577B">
        <w:rPr>
          <w:lang w:val="en-US"/>
        </w:rPr>
        <w:tab/>
        <w:t>Introduction</w:t>
      </w:r>
    </w:p>
    <w:p w:rsidR="00B47BF3" w:rsidRDefault="00B47BF3" w:rsidP="00B47BF3">
      <w:pPr>
        <w:pStyle w:val="BodyText"/>
        <w:jc w:val="left"/>
        <w:rPr>
          <w:rFonts w:asciiTheme="minorHAnsi" w:hAnsiTheme="minorHAnsi" w:cstheme="minorHAnsi"/>
        </w:rPr>
      </w:pPr>
      <w:r>
        <w:rPr>
          <w:rFonts w:asciiTheme="minorHAnsi" w:hAnsiTheme="minorHAnsi" w:cstheme="minorHAnsi"/>
        </w:rPr>
        <w:t>During RAN1 #103-e meeting, the following was agreed:</w:t>
      </w:r>
    </w:p>
    <w:p w:rsidR="00B47BF3" w:rsidRPr="00212706" w:rsidRDefault="00B47BF3" w:rsidP="00B47BF3">
      <w:pPr>
        <w:pStyle w:val="BodyText"/>
        <w:rPr>
          <w:rFonts w:ascii="Times New Roman" w:hAnsi="Times New Roman" w:cs="Times New Roman"/>
          <w:i/>
          <w:iCs/>
          <w:sz w:val="20"/>
          <w:szCs w:val="20"/>
        </w:rPr>
      </w:pPr>
      <w:r w:rsidRPr="00212706">
        <w:rPr>
          <w:rFonts w:ascii="Times New Roman" w:hAnsi="Times New Roman" w:cs="Times New Roman"/>
          <w:i/>
          <w:iCs/>
          <w:sz w:val="20"/>
          <w:szCs w:val="20"/>
          <w:highlight w:val="green"/>
        </w:rPr>
        <w:t>Agreements</w:t>
      </w:r>
      <w:r w:rsidRPr="00212706">
        <w:rPr>
          <w:rFonts w:ascii="Times New Roman" w:hAnsi="Times New Roman" w:cs="Times New Roman"/>
          <w:i/>
          <w:iCs/>
          <w:sz w:val="20"/>
          <w:szCs w:val="20"/>
        </w:rPr>
        <w:t>:</w:t>
      </w:r>
    </w:p>
    <w:p w:rsidR="00B47BF3" w:rsidRPr="00212706" w:rsidRDefault="00B47BF3" w:rsidP="00B47BF3">
      <w:pPr>
        <w:pStyle w:val="BodyText"/>
        <w:numPr>
          <w:ilvl w:val="0"/>
          <w:numId w:val="3"/>
        </w:numPr>
        <w:jc w:val="left"/>
        <w:rPr>
          <w:rFonts w:ascii="Times New Roman" w:hAnsi="Times New Roman" w:cs="Times New Roman"/>
          <w:i/>
          <w:iCs/>
          <w:sz w:val="20"/>
          <w:szCs w:val="20"/>
        </w:rPr>
      </w:pPr>
      <w:r w:rsidRPr="00212706">
        <w:rPr>
          <w:rFonts w:ascii="Times New Roman" w:hAnsi="Times New Roman" w:cs="Times New Roman"/>
          <w:i/>
          <w:iCs/>
          <w:sz w:val="20"/>
          <w:szCs w:val="20"/>
        </w:rPr>
        <w:t>Specify at least one of the following options for Rel-17 dynamic PDCCH adaptation for active time</w:t>
      </w:r>
    </w:p>
    <w:p w:rsidR="00B47BF3" w:rsidRPr="00212706" w:rsidRDefault="00B47BF3" w:rsidP="00B47BF3">
      <w:pPr>
        <w:pStyle w:val="BodyText"/>
        <w:numPr>
          <w:ilvl w:val="1"/>
          <w:numId w:val="3"/>
        </w:numPr>
        <w:jc w:val="left"/>
        <w:rPr>
          <w:rFonts w:ascii="Times New Roman" w:hAnsi="Times New Roman" w:cs="Times New Roman"/>
          <w:i/>
          <w:iCs/>
          <w:sz w:val="20"/>
          <w:szCs w:val="20"/>
        </w:rPr>
      </w:pPr>
      <w:r w:rsidRPr="00212706">
        <w:rPr>
          <w:rFonts w:ascii="Times New Roman" w:hAnsi="Times New Roman" w:cs="Times New Roman"/>
          <w:i/>
          <w:iCs/>
          <w:sz w:val="20"/>
          <w:szCs w:val="20"/>
        </w:rPr>
        <w:t>Option 1: Search space set group switching, e.g., explicit and implicit search space set group switching.</w:t>
      </w:r>
    </w:p>
    <w:p w:rsidR="00B47BF3" w:rsidRPr="00212706" w:rsidRDefault="00B47BF3" w:rsidP="00B47BF3">
      <w:pPr>
        <w:pStyle w:val="BodyText"/>
        <w:numPr>
          <w:ilvl w:val="1"/>
          <w:numId w:val="3"/>
        </w:numPr>
        <w:jc w:val="left"/>
        <w:rPr>
          <w:rFonts w:ascii="Times New Roman" w:hAnsi="Times New Roman" w:cs="Times New Roman"/>
          <w:i/>
          <w:iCs/>
          <w:sz w:val="20"/>
          <w:szCs w:val="20"/>
        </w:rPr>
      </w:pPr>
      <w:r w:rsidRPr="00212706">
        <w:rPr>
          <w:rFonts w:ascii="Times New Roman" w:hAnsi="Times New Roman" w:cs="Times New Roman"/>
          <w:i/>
          <w:iCs/>
          <w:sz w:val="20"/>
          <w:szCs w:val="20"/>
        </w:rPr>
        <w:t>Option 2: PDCCH skipping for a certain duration/DRX cycle</w:t>
      </w:r>
    </w:p>
    <w:p w:rsidR="00B47BF3" w:rsidRPr="00212706" w:rsidRDefault="00B47BF3" w:rsidP="00B47BF3">
      <w:pPr>
        <w:pStyle w:val="BodyText"/>
        <w:numPr>
          <w:ilvl w:val="0"/>
          <w:numId w:val="3"/>
        </w:numPr>
        <w:rPr>
          <w:rFonts w:ascii="Times New Roman" w:hAnsi="Times New Roman" w:cs="Times New Roman"/>
          <w:i/>
          <w:iCs/>
          <w:sz w:val="20"/>
          <w:szCs w:val="20"/>
        </w:rPr>
      </w:pPr>
      <w:r w:rsidRPr="00212706">
        <w:rPr>
          <w:rFonts w:ascii="Times New Roman" w:hAnsi="Times New Roman" w:cs="Times New Roman"/>
          <w:i/>
          <w:iCs/>
          <w:sz w:val="20"/>
          <w:szCs w:val="20"/>
        </w:rPr>
        <w:t>FFS: which option(s)</w:t>
      </w:r>
    </w:p>
    <w:p w:rsidR="00B47BF3" w:rsidRPr="00212706" w:rsidRDefault="00B47BF3" w:rsidP="00B47BF3">
      <w:pPr>
        <w:pStyle w:val="BodyText"/>
        <w:numPr>
          <w:ilvl w:val="0"/>
          <w:numId w:val="3"/>
        </w:numPr>
        <w:jc w:val="left"/>
        <w:rPr>
          <w:rFonts w:ascii="Times New Roman" w:hAnsi="Times New Roman" w:cs="Times New Roman"/>
          <w:i/>
          <w:iCs/>
          <w:sz w:val="20"/>
          <w:szCs w:val="20"/>
        </w:rPr>
      </w:pPr>
      <w:r w:rsidRPr="00212706">
        <w:rPr>
          <w:rFonts w:ascii="Times New Roman" w:hAnsi="Times New Roman" w:cs="Times New Roman"/>
          <w:i/>
          <w:iCs/>
          <w:sz w:val="20"/>
          <w:szCs w:val="20"/>
        </w:rPr>
        <w:t>Candidate DCI formats for dynamic PDCCH adaptation include DCI formats 1_1(including scheduling and non-scheduling DCI), 0_1, 1_2, 0_2, 2_0, 2_6.</w:t>
      </w:r>
    </w:p>
    <w:p w:rsidR="00B47BF3" w:rsidRPr="00212706" w:rsidRDefault="00B47BF3" w:rsidP="00B47BF3">
      <w:pPr>
        <w:pStyle w:val="BodyText"/>
        <w:numPr>
          <w:ilvl w:val="0"/>
          <w:numId w:val="3"/>
        </w:numPr>
        <w:jc w:val="left"/>
        <w:rPr>
          <w:rFonts w:ascii="Times New Roman" w:hAnsi="Times New Roman" w:cs="Times New Roman"/>
          <w:i/>
          <w:iCs/>
          <w:sz w:val="20"/>
          <w:szCs w:val="20"/>
        </w:rPr>
      </w:pPr>
      <w:r w:rsidRPr="00212706">
        <w:rPr>
          <w:rFonts w:ascii="Times New Roman" w:hAnsi="Times New Roman" w:cs="Times New Roman"/>
          <w:i/>
          <w:iCs/>
          <w:sz w:val="20"/>
          <w:szCs w:val="20"/>
        </w:rPr>
        <w:t>Note:</w:t>
      </w:r>
    </w:p>
    <w:p w:rsidR="00B47BF3" w:rsidRPr="00212706" w:rsidRDefault="00B47BF3" w:rsidP="00B47BF3">
      <w:pPr>
        <w:pStyle w:val="BodyText"/>
        <w:numPr>
          <w:ilvl w:val="1"/>
          <w:numId w:val="3"/>
        </w:numPr>
        <w:jc w:val="left"/>
        <w:rPr>
          <w:rFonts w:ascii="Times New Roman" w:hAnsi="Times New Roman" w:cs="Times New Roman"/>
          <w:i/>
          <w:iCs/>
          <w:sz w:val="20"/>
          <w:szCs w:val="20"/>
        </w:rPr>
      </w:pPr>
      <w:r w:rsidRPr="00212706">
        <w:rPr>
          <w:rFonts w:ascii="Times New Roman" w:hAnsi="Times New Roman" w:cs="Times New Roman"/>
          <w:i/>
          <w:iCs/>
          <w:sz w:val="20"/>
          <w:szCs w:val="20"/>
        </w:rPr>
        <w:t>Companies are encouraged to provide analysis on specification impact, power saving benefit and system impact (e.g., packet latency, system overhead)</w:t>
      </w:r>
    </w:p>
    <w:p w:rsidR="00B47BF3" w:rsidRPr="00F80BAA" w:rsidRDefault="00B47BF3" w:rsidP="00B47BF3">
      <w:pPr>
        <w:pStyle w:val="BodyText"/>
        <w:numPr>
          <w:ilvl w:val="0"/>
          <w:numId w:val="3"/>
        </w:numPr>
        <w:jc w:val="left"/>
        <w:rPr>
          <w:rFonts w:ascii="Times New Roman" w:hAnsi="Times New Roman" w:cs="Times New Roman"/>
          <w:i/>
          <w:iCs/>
          <w:sz w:val="20"/>
          <w:szCs w:val="20"/>
        </w:rPr>
      </w:pPr>
      <w:r w:rsidRPr="00212706">
        <w:rPr>
          <w:rFonts w:ascii="Times New Roman" w:hAnsi="Times New Roman" w:cs="Times New Roman"/>
          <w:i/>
          <w:iCs/>
          <w:sz w:val="20"/>
          <w:szCs w:val="20"/>
        </w:rPr>
        <w:t>FFS: other schemes are not precluded for further study</w:t>
      </w:r>
    </w:p>
    <w:p w:rsidR="00B47BF3" w:rsidRDefault="00B47BF3" w:rsidP="00B47BF3">
      <w:pPr>
        <w:pStyle w:val="BodyText"/>
        <w:rPr>
          <w:rFonts w:asciiTheme="minorHAnsi" w:hAnsiTheme="minorHAnsi" w:cstheme="minorHAnsi"/>
        </w:rPr>
      </w:pPr>
    </w:p>
    <w:p w:rsidR="00B47BF3" w:rsidRPr="009A2611" w:rsidRDefault="00B47BF3" w:rsidP="00B47BF3">
      <w:pPr>
        <w:pStyle w:val="BodyText"/>
        <w:rPr>
          <w:rFonts w:asciiTheme="minorHAnsi" w:hAnsiTheme="minorHAnsi" w:cstheme="minorHAnsi"/>
        </w:rPr>
      </w:pPr>
      <w:r>
        <w:rPr>
          <w:rFonts w:asciiTheme="minorHAnsi" w:hAnsiTheme="minorHAnsi" w:cstheme="minorHAnsi"/>
        </w:rPr>
        <w:t>In this paper, the PDCCH-skipping and SS-set group switching are discussed, including the possible triggering commands. In addition, the FFS from the above agreement is also addressed.</w:t>
      </w:r>
    </w:p>
    <w:p w:rsidR="00B47BF3" w:rsidRPr="00BC2CA8" w:rsidRDefault="00B47BF3" w:rsidP="00B47BF3">
      <w:pPr>
        <w:pStyle w:val="Heading1"/>
        <w:rPr>
          <w:lang w:val="en-US"/>
        </w:rPr>
      </w:pPr>
      <w:bookmarkStart w:id="0" w:name="_Ref178064866"/>
      <w:r w:rsidRPr="005F577B">
        <w:rPr>
          <w:lang w:val="en-US"/>
        </w:rPr>
        <w:t>2</w:t>
      </w:r>
      <w:r w:rsidRPr="005F577B">
        <w:rPr>
          <w:lang w:val="en-US"/>
        </w:rPr>
        <w:tab/>
      </w:r>
      <w:bookmarkEnd w:id="0"/>
      <w:r>
        <w:rPr>
          <w:lang w:val="en-US"/>
        </w:rPr>
        <w:t>Discussion</w:t>
      </w:r>
    </w:p>
    <w:p w:rsidR="00B47BF3" w:rsidRDefault="00B47BF3" w:rsidP="00B47BF3">
      <w:pPr>
        <w:pStyle w:val="Heading2"/>
      </w:pPr>
      <w:r>
        <w:t>2. 1</w:t>
      </w:r>
      <w:r>
        <w:tab/>
        <w:t>PDCCH monitoring adaptation</w:t>
      </w:r>
    </w:p>
    <w:p w:rsidR="00B47BF3" w:rsidRPr="00876D61" w:rsidRDefault="00B47BF3" w:rsidP="00B47BF3">
      <w:pPr>
        <w:jc w:val="both"/>
        <w:rPr>
          <w:lang w:val="en-GB" w:eastAsia="ja-JP"/>
        </w:rPr>
      </w:pPr>
      <w:r w:rsidRPr="00944B07">
        <w:rPr>
          <w:lang w:val="en-GB" w:eastAsia="ja-JP"/>
        </w:rPr>
        <w:t xml:space="preserve">In RAN1 #103e, it was agreed that at least one of SS-set group </w:t>
      </w:r>
      <w:r>
        <w:rPr>
          <w:lang w:val="en-GB" w:eastAsia="ja-JP"/>
        </w:rPr>
        <w:t xml:space="preserve">(SSSG) </w:t>
      </w:r>
      <w:r w:rsidRPr="00944B07">
        <w:rPr>
          <w:lang w:val="en-GB" w:eastAsia="ja-JP"/>
        </w:rPr>
        <w:t xml:space="preserve">switching </w:t>
      </w:r>
      <w:r>
        <w:rPr>
          <w:lang w:val="en-GB" w:eastAsia="ja-JP"/>
        </w:rPr>
        <w:t>or</w:t>
      </w:r>
      <w:r w:rsidRPr="00944B07">
        <w:rPr>
          <w:lang w:val="en-GB" w:eastAsia="ja-JP"/>
        </w:rPr>
        <w:t xml:space="preserve"> PDCCH-skip </w:t>
      </w:r>
      <w:r>
        <w:rPr>
          <w:lang w:val="en-GB" w:eastAsia="ja-JP"/>
        </w:rPr>
        <w:t>will be</w:t>
      </w:r>
      <w:r w:rsidRPr="00944B07">
        <w:rPr>
          <w:lang w:val="en-GB" w:eastAsia="ja-JP"/>
        </w:rPr>
        <w:t xml:space="preserve"> </w:t>
      </w:r>
      <w:r>
        <w:rPr>
          <w:lang w:val="en-GB" w:eastAsia="ja-JP"/>
        </w:rPr>
        <w:t>specified in Rel-17</w:t>
      </w:r>
      <w:r w:rsidRPr="00944B07">
        <w:rPr>
          <w:lang w:val="en-GB" w:eastAsia="ja-JP"/>
        </w:rPr>
        <w:t xml:space="preserve">. </w:t>
      </w:r>
      <w:r>
        <w:rPr>
          <w:lang w:val="en-GB" w:eastAsia="ja-JP"/>
        </w:rPr>
        <w:t>It is important to first clarify the schemes under discussion. While SSSG is specified in Rel-16 NR-U, PDCCH skipping has several variants.</w:t>
      </w:r>
    </w:p>
    <w:p w:rsidR="00B47BF3" w:rsidRDefault="00B47BF3" w:rsidP="00B47BF3">
      <w:pPr>
        <w:pStyle w:val="Heading3"/>
      </w:pPr>
      <w:r>
        <w:t>2. 1. 1</w:t>
      </w:r>
      <w:r>
        <w:tab/>
        <w:t>PDCCH-skipping</w:t>
      </w:r>
    </w:p>
    <w:p w:rsidR="00B47BF3" w:rsidRDefault="00B47BF3" w:rsidP="00B47BF3">
      <w:pPr>
        <w:jc w:val="both"/>
        <w:rPr>
          <w:lang w:val="en-GB" w:eastAsia="ja-JP"/>
        </w:rPr>
      </w:pPr>
      <w:r>
        <w:rPr>
          <w:lang w:val="en-GB" w:eastAsia="ja-JP"/>
        </w:rPr>
        <w:t xml:space="preserve">For one variant PDCCH skipping, NW configures a certain skip duration, and informs in a scheduling DCI that a UE can skip PDCCH monitoring for the skip duration. Thus, if NW does not expect the UE to be scheduled in a certain number of subsequent slots (or does not expect any data for the UE until a certain duration), this scheme allows the UE to save power by omitting PDCCH monitoring in those slots. </w:t>
      </w:r>
      <w:r w:rsidRPr="00556D06">
        <w:rPr>
          <w:lang w:val="en-GB" w:eastAsia="ja-JP"/>
        </w:rPr>
        <w:t xml:space="preserve">After the skipping duration ends, the UE </w:t>
      </w:r>
      <w:r>
        <w:rPr>
          <w:lang w:val="en-GB" w:eastAsia="ja-JP"/>
        </w:rPr>
        <w:t>follows regular</w:t>
      </w:r>
      <w:r w:rsidRPr="00556D06">
        <w:rPr>
          <w:lang w:val="en-GB" w:eastAsia="ja-JP"/>
        </w:rPr>
        <w:t xml:space="preserve"> PDCCH monitoring. </w:t>
      </w:r>
    </w:p>
    <w:p w:rsidR="00B47BF3" w:rsidRPr="00556D06" w:rsidRDefault="00B47BF3" w:rsidP="00B47BF3">
      <w:pPr>
        <w:rPr>
          <w:lang w:val="en-GB" w:eastAsia="ja-JP"/>
        </w:rPr>
      </w:pPr>
    </w:p>
    <w:p w:rsidR="00B47BF3" w:rsidRDefault="00B47BF3" w:rsidP="00B47BF3">
      <w:pPr>
        <w:jc w:val="center"/>
        <w:rPr>
          <w:color w:val="BFBFBF" w:themeColor="background1" w:themeShade="BF"/>
          <w:lang w:val="en-GB" w:eastAsia="ja-JP"/>
        </w:rPr>
      </w:pPr>
      <w:r>
        <w:rPr>
          <w:noProof/>
          <w:color w:val="BFBFBF" w:themeColor="background1" w:themeShade="BF"/>
          <w:lang w:val="en-GB" w:eastAsia="ja-JP"/>
        </w:rPr>
        <w:lastRenderedPageBreak/>
        <w:drawing>
          <wp:inline distT="0" distB="0" distL="0" distR="0" wp14:anchorId="5CF510A8" wp14:editId="408CDD77">
            <wp:extent cx="5400000" cy="12862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0000" cy="1286273"/>
                    </a:xfrm>
                    <a:prstGeom prst="rect">
                      <a:avLst/>
                    </a:prstGeom>
                    <a:noFill/>
                  </pic:spPr>
                </pic:pic>
              </a:graphicData>
            </a:graphic>
          </wp:inline>
        </w:drawing>
      </w:r>
    </w:p>
    <w:p w:rsidR="00B47BF3" w:rsidRPr="00556D06" w:rsidRDefault="00B47BF3" w:rsidP="00B47BF3">
      <w:pPr>
        <w:jc w:val="center"/>
        <w:rPr>
          <w:lang w:val="en-GB" w:eastAsia="ja-JP"/>
        </w:rPr>
      </w:pPr>
      <w:r>
        <w:rPr>
          <w:lang w:val="en-GB" w:eastAsia="ja-JP"/>
        </w:rPr>
        <w:t>Figure 1. PDCCH-skipping</w:t>
      </w:r>
    </w:p>
    <w:p w:rsidR="00B47BF3" w:rsidRDefault="00B47BF3" w:rsidP="00B47BF3">
      <w:pPr>
        <w:jc w:val="both"/>
        <w:rPr>
          <w:lang w:val="en-GB" w:eastAsia="ja-JP"/>
        </w:rPr>
      </w:pPr>
    </w:p>
    <w:p w:rsidR="00B47BF3" w:rsidRDefault="00B47BF3" w:rsidP="00B47BF3">
      <w:pPr>
        <w:jc w:val="both"/>
        <w:rPr>
          <w:lang w:val="en-GB" w:eastAsia="ja-JP"/>
        </w:rPr>
      </w:pPr>
      <w:r>
        <w:rPr>
          <w:lang w:val="en-GB" w:eastAsia="ja-JP"/>
        </w:rPr>
        <w:t>To reduce impact on UPT, the skipping duration needs to relatively short, and NW must keep sending the skip command frequently for the UE to be able to save power. Since skipping is a one-shot command</w:t>
      </w:r>
      <w:r w:rsidRPr="00556D06">
        <w:rPr>
          <w:lang w:val="en-GB" w:eastAsia="ja-JP"/>
        </w:rPr>
        <w:t>, if NW</w:t>
      </w:r>
      <w:r>
        <w:rPr>
          <w:lang w:val="en-GB" w:eastAsia="ja-JP"/>
        </w:rPr>
        <w:t xml:space="preserve"> has no</w:t>
      </w:r>
      <w:r w:rsidRPr="00556D06">
        <w:rPr>
          <w:lang w:val="en-GB" w:eastAsia="ja-JP"/>
        </w:rPr>
        <w:t xml:space="preserve"> data to be </w:t>
      </w:r>
      <w:r>
        <w:rPr>
          <w:lang w:val="en-GB" w:eastAsia="ja-JP"/>
        </w:rPr>
        <w:t>scheduled for</w:t>
      </w:r>
      <w:r w:rsidRPr="00556D06">
        <w:rPr>
          <w:lang w:val="en-GB" w:eastAsia="ja-JP"/>
        </w:rPr>
        <w:t xml:space="preserve"> the UE</w:t>
      </w:r>
      <w:r>
        <w:rPr>
          <w:lang w:val="en-GB" w:eastAsia="ja-JP"/>
        </w:rPr>
        <w:t>, UE cannot save power when IAT is running unless the skip command is sent continuously to the UE as shown in Figure 2 below.</w:t>
      </w:r>
    </w:p>
    <w:p w:rsidR="00B47BF3" w:rsidRDefault="00B47BF3" w:rsidP="00B47BF3">
      <w:pPr>
        <w:jc w:val="center"/>
        <w:rPr>
          <w:lang w:val="en-GB" w:eastAsia="ja-JP"/>
        </w:rPr>
      </w:pPr>
      <w:r>
        <w:rPr>
          <w:noProof/>
          <w:lang w:val="en-GB" w:eastAsia="ja-JP"/>
        </w:rPr>
        <w:drawing>
          <wp:inline distT="0" distB="0" distL="0" distR="0" wp14:anchorId="7718EF4D" wp14:editId="12A14B58">
            <wp:extent cx="4320000" cy="110760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0" cy="1107608"/>
                    </a:xfrm>
                    <a:prstGeom prst="rect">
                      <a:avLst/>
                    </a:prstGeom>
                    <a:noFill/>
                  </pic:spPr>
                </pic:pic>
              </a:graphicData>
            </a:graphic>
          </wp:inline>
        </w:drawing>
      </w:r>
    </w:p>
    <w:p w:rsidR="00B47BF3" w:rsidRDefault="00B47BF3" w:rsidP="00B47BF3">
      <w:pPr>
        <w:jc w:val="center"/>
        <w:rPr>
          <w:lang w:val="en-GB" w:eastAsia="ja-JP"/>
        </w:rPr>
      </w:pPr>
      <w:r>
        <w:rPr>
          <w:lang w:val="en-GB" w:eastAsia="ja-JP"/>
        </w:rPr>
        <w:t>Figure 2. NW needs to keep sending PDCCH skip command to reduce power consumption during running of IAT.</w:t>
      </w:r>
    </w:p>
    <w:p w:rsidR="00B47BF3" w:rsidRDefault="00B47BF3" w:rsidP="00B47BF3">
      <w:pPr>
        <w:jc w:val="both"/>
        <w:rPr>
          <w:lang w:val="en-GB" w:eastAsia="ja-JP"/>
        </w:rPr>
      </w:pPr>
      <w:r>
        <w:rPr>
          <w:lang w:val="en-GB" w:eastAsia="ja-JP"/>
        </w:rPr>
        <w:t>Another variant of PDCCH skipping allows the NW to tell a UE in active time to stop PDCCH monitoring until next DRX On duration. Thus, UE skips PDCCH monitoring inside Active time even when Inactivity timer is running. Supporting such long duration skipping would have undesirable impact on system performance, and would interfere with the DRX functionality, which allows UE to come out of DRX under specific circumstances such as when UE transmits SR.</w:t>
      </w:r>
    </w:p>
    <w:p w:rsidR="00B47BF3" w:rsidRDefault="00B47BF3" w:rsidP="00B47BF3">
      <w:pPr>
        <w:jc w:val="both"/>
        <w:rPr>
          <w:lang w:val="en-GB" w:eastAsia="ja-JP"/>
        </w:rPr>
      </w:pPr>
      <w:r>
        <w:rPr>
          <w:lang w:val="en-GB" w:eastAsia="ja-JP"/>
        </w:rPr>
        <w:t>Another variant is to set the skipping duration to a large value, possibly larger than inactivity timer, i.e., the skipping might include skipping one or more DRX on-duration. This, however, could be very risky as the NW might need to wait for several DRX on-duration before it could send any PDCCH, i.e., when the data burst comes. This will certainly degrade UPT significantly. On top of that, Rel. 16 already introduced wake-up signal (WUS) which could notably reduce power consumption of the DRX on-duration. Skipping the on-duration, therefore, is not required.</w:t>
      </w:r>
    </w:p>
    <w:p w:rsidR="00B47BF3" w:rsidRPr="00ED7D29" w:rsidRDefault="00B47BF3" w:rsidP="00B47BF3">
      <w:pPr>
        <w:jc w:val="both"/>
        <w:rPr>
          <w:lang w:val="en-GB" w:eastAsia="ja-JP"/>
        </w:rPr>
      </w:pPr>
      <w:r w:rsidRPr="00ED7D29">
        <w:rPr>
          <w:lang w:val="en-GB" w:eastAsia="ja-JP"/>
        </w:rPr>
        <w:t>In summary, only the variant where PDCCH-skipping duration is limited to a relatively short time duration (e.g. much smaller than typical IAT values) would avoid adverse system performance impact.</w:t>
      </w:r>
    </w:p>
    <w:p w:rsidR="00B47BF3" w:rsidRDefault="00B47BF3" w:rsidP="00B47BF3">
      <w:pPr>
        <w:pStyle w:val="Heading3"/>
      </w:pPr>
      <w:r>
        <w:t>2. 1. 2</w:t>
      </w:r>
      <w:r>
        <w:tab/>
        <w:t>SS-set group switching</w:t>
      </w:r>
    </w:p>
    <w:p w:rsidR="00B47BF3" w:rsidRDefault="00B47BF3" w:rsidP="00B47BF3">
      <w:pPr>
        <w:jc w:val="both"/>
        <w:rPr>
          <w:lang w:val="en-GB" w:eastAsia="ja-JP"/>
        </w:rPr>
      </w:pPr>
      <w:r w:rsidRPr="000F5327">
        <w:rPr>
          <w:lang w:val="en-GB" w:eastAsia="ja-JP"/>
        </w:rPr>
        <w:t>Rel. 16 NR-U</w:t>
      </w:r>
      <w:r>
        <w:rPr>
          <w:lang w:val="en-GB" w:eastAsia="ja-JP"/>
        </w:rPr>
        <w:t xml:space="preserve"> introduced</w:t>
      </w:r>
      <w:r w:rsidRPr="000F5327">
        <w:rPr>
          <w:lang w:val="en-GB" w:eastAsia="ja-JP"/>
        </w:rPr>
        <w:t xml:space="preserve"> SS-set group switching (SS</w:t>
      </w:r>
      <w:r>
        <w:rPr>
          <w:lang w:val="en-GB" w:eastAsia="ja-JP"/>
        </w:rPr>
        <w:t>S</w:t>
      </w:r>
      <w:r w:rsidRPr="000F5327">
        <w:rPr>
          <w:lang w:val="en-GB" w:eastAsia="ja-JP"/>
        </w:rPr>
        <w:t xml:space="preserve">GS) </w:t>
      </w:r>
      <w:r>
        <w:rPr>
          <w:lang w:val="en-GB" w:eastAsia="ja-JP"/>
        </w:rPr>
        <w:t xml:space="preserve">in which </w:t>
      </w:r>
      <w:r w:rsidRPr="000F5327">
        <w:rPr>
          <w:lang w:val="en-GB" w:eastAsia="ja-JP"/>
        </w:rPr>
        <w:t>a UE can be configured with two SS-set groups and switch</w:t>
      </w:r>
      <w:r>
        <w:rPr>
          <w:lang w:val="en-GB" w:eastAsia="ja-JP"/>
        </w:rPr>
        <w:t>es</w:t>
      </w:r>
      <w:r w:rsidRPr="000F5327">
        <w:rPr>
          <w:lang w:val="en-GB" w:eastAsia="ja-JP"/>
        </w:rPr>
        <w:t xml:space="preserve"> between </w:t>
      </w:r>
      <w:r>
        <w:rPr>
          <w:lang w:val="en-GB" w:eastAsia="ja-JP"/>
        </w:rPr>
        <w:t xml:space="preserve">monitoring according to </w:t>
      </w:r>
      <w:r w:rsidRPr="000F5327">
        <w:rPr>
          <w:lang w:val="en-GB" w:eastAsia="ja-JP"/>
        </w:rPr>
        <w:t>those SS-set groups</w:t>
      </w:r>
      <w:r>
        <w:rPr>
          <w:lang w:val="en-GB" w:eastAsia="ja-JP"/>
        </w:rPr>
        <w:t>.</w:t>
      </w:r>
      <w:r w:rsidRPr="000F5327" w:rsidDel="00E4595F">
        <w:rPr>
          <w:lang w:val="en-GB" w:eastAsia="ja-JP"/>
        </w:rPr>
        <w:t xml:space="preserve"> </w:t>
      </w:r>
      <w:r>
        <w:rPr>
          <w:lang w:val="en-GB" w:eastAsia="ja-JP"/>
        </w:rPr>
        <w:t xml:space="preserve">Both explicit switching (e.g. via DCI 2_0) and implicit switching (based on timer or detection of a DCI) are specified. </w:t>
      </w:r>
    </w:p>
    <w:p w:rsidR="00B47BF3" w:rsidRPr="00556D06" w:rsidRDefault="00B47BF3" w:rsidP="00B47BF3">
      <w:pPr>
        <w:pStyle w:val="paragraph"/>
        <w:spacing w:before="0" w:beforeAutospacing="0" w:after="0" w:afterAutospacing="0"/>
        <w:textAlignment w:val="baseline"/>
        <w:rPr>
          <w:rFonts w:asciiTheme="minorHAnsi" w:hAnsiTheme="minorHAnsi" w:cstheme="minorHAnsi"/>
          <w:sz w:val="22"/>
          <w:szCs w:val="22"/>
        </w:rPr>
      </w:pPr>
      <w:r w:rsidRPr="00556D06">
        <w:rPr>
          <w:rStyle w:val="normaltextrun"/>
          <w:rFonts w:asciiTheme="minorHAnsi" w:hAnsiTheme="minorHAnsi" w:cstheme="minorHAnsi"/>
          <w:b/>
          <w:bCs/>
          <w:sz w:val="22"/>
          <w:szCs w:val="22"/>
          <w:u w:val="single"/>
        </w:rPr>
        <w:t>Explicit SS switching</w:t>
      </w:r>
      <w:r w:rsidRPr="00556D06">
        <w:rPr>
          <w:rStyle w:val="eop"/>
          <w:rFonts w:asciiTheme="minorHAnsi" w:hAnsiTheme="minorHAnsi" w:cstheme="minorHAnsi"/>
          <w:sz w:val="22"/>
          <w:szCs w:val="22"/>
        </w:rPr>
        <w:t> </w:t>
      </w:r>
    </w:p>
    <w:p w:rsidR="00B47BF3" w:rsidRPr="00556D06" w:rsidRDefault="00B47BF3" w:rsidP="00B47BF3">
      <w:pPr>
        <w:pStyle w:val="paragraph"/>
        <w:spacing w:before="0" w:beforeAutospacing="0" w:after="0" w:afterAutospacing="0"/>
        <w:textAlignment w:val="baseline"/>
        <w:rPr>
          <w:rFonts w:asciiTheme="minorHAnsi" w:hAnsiTheme="minorHAnsi" w:cstheme="minorHAnsi"/>
          <w:sz w:val="22"/>
          <w:szCs w:val="22"/>
        </w:rPr>
      </w:pPr>
      <w:r w:rsidRPr="00556D06">
        <w:rPr>
          <w:rStyle w:val="eop"/>
          <w:rFonts w:asciiTheme="minorHAnsi" w:hAnsiTheme="minorHAnsi" w:cstheme="minorHAnsi"/>
          <w:sz w:val="22"/>
          <w:szCs w:val="22"/>
        </w:rPr>
        <w:t> </w:t>
      </w:r>
    </w:p>
    <w:p w:rsidR="00B47BF3" w:rsidRPr="00556D06" w:rsidRDefault="00B47BF3" w:rsidP="00B47BF3">
      <w:pPr>
        <w:pStyle w:val="paragraph"/>
        <w:spacing w:before="0" w:beforeAutospacing="0" w:after="0" w:afterAutospacing="0"/>
        <w:jc w:val="both"/>
        <w:textAlignment w:val="baseline"/>
        <w:rPr>
          <w:rFonts w:asciiTheme="minorHAnsi" w:hAnsiTheme="minorHAnsi" w:cstheme="minorHAnsi"/>
          <w:sz w:val="22"/>
          <w:szCs w:val="22"/>
        </w:rPr>
      </w:pPr>
      <w:r w:rsidRPr="00556D06">
        <w:rPr>
          <w:rStyle w:val="normaltextrun"/>
          <w:rFonts w:asciiTheme="minorHAnsi" w:hAnsiTheme="minorHAnsi" w:cstheme="minorHAnsi"/>
          <w:sz w:val="22"/>
          <w:szCs w:val="22"/>
        </w:rPr>
        <w:t xml:space="preserve">The UE can be switched between the two search space groups through detection of DCI format 2_0. This is done by configuring the UE with the RRC parameter </w:t>
      </w:r>
      <w:r w:rsidRPr="00556D06">
        <w:rPr>
          <w:rStyle w:val="normaltextrun"/>
          <w:rFonts w:asciiTheme="minorHAnsi" w:hAnsiTheme="minorHAnsi" w:cstheme="minorHAnsi"/>
          <w:i/>
          <w:iCs/>
          <w:sz w:val="22"/>
          <w:szCs w:val="22"/>
        </w:rPr>
        <w:t>searchSpaceSwitchTrigger-r16</w:t>
      </w:r>
      <w:r w:rsidRPr="00556D06">
        <w:rPr>
          <w:rStyle w:val="normaltextrun"/>
          <w:rFonts w:asciiTheme="minorHAnsi" w:hAnsiTheme="minorHAnsi" w:cstheme="minorHAnsi"/>
          <w:sz w:val="22"/>
          <w:szCs w:val="22"/>
        </w:rPr>
        <w:t xml:space="preserve"> which provides a location for the search space switching field (for a serving cell) in the DCI format 2_0. The search-space-set- switching </w:t>
      </w:r>
      <w:r w:rsidRPr="00556D06">
        <w:rPr>
          <w:rStyle w:val="normaltextrun"/>
          <w:rFonts w:asciiTheme="minorHAnsi" w:hAnsiTheme="minorHAnsi" w:cstheme="minorHAnsi"/>
          <w:sz w:val="22"/>
          <w:szCs w:val="22"/>
        </w:rPr>
        <w:lastRenderedPageBreak/>
        <w:t xml:space="preserve">field is one bit in size, where a bit value of zero indicates one group and a value of one indicates the second group. We refer to these two groups by group0 and group1, where the search-space-set-switching field takes the values zero and one, respectively.   </w:t>
      </w:r>
      <w:r w:rsidRPr="00556D06">
        <w:rPr>
          <w:rStyle w:val="eop"/>
          <w:rFonts w:asciiTheme="minorHAnsi" w:hAnsiTheme="minorHAnsi" w:cstheme="minorHAnsi"/>
          <w:sz w:val="22"/>
          <w:szCs w:val="22"/>
        </w:rPr>
        <w:t> </w:t>
      </w:r>
    </w:p>
    <w:p w:rsidR="00B47BF3" w:rsidRPr="00556D06" w:rsidRDefault="00B47BF3" w:rsidP="00B47BF3">
      <w:pPr>
        <w:pStyle w:val="paragraph"/>
        <w:spacing w:before="0" w:beforeAutospacing="0" w:after="0" w:afterAutospacing="0"/>
        <w:textAlignment w:val="baseline"/>
        <w:rPr>
          <w:rFonts w:asciiTheme="minorHAnsi" w:hAnsiTheme="minorHAnsi" w:cstheme="minorHAnsi"/>
          <w:sz w:val="22"/>
          <w:szCs w:val="22"/>
        </w:rPr>
      </w:pPr>
      <w:r w:rsidRPr="00556D06">
        <w:rPr>
          <w:rStyle w:val="eop"/>
          <w:rFonts w:asciiTheme="minorHAnsi" w:hAnsiTheme="minorHAnsi" w:cstheme="minorHAnsi"/>
          <w:sz w:val="22"/>
          <w:szCs w:val="22"/>
        </w:rPr>
        <w:t> </w:t>
      </w:r>
    </w:p>
    <w:p w:rsidR="00B47BF3" w:rsidRPr="00556D06" w:rsidRDefault="00B47BF3" w:rsidP="00B47BF3">
      <w:pPr>
        <w:pStyle w:val="paragraph"/>
        <w:spacing w:before="0" w:beforeAutospacing="0" w:after="0" w:afterAutospacing="0"/>
        <w:textAlignment w:val="baseline"/>
        <w:rPr>
          <w:rFonts w:asciiTheme="minorHAnsi" w:hAnsiTheme="minorHAnsi" w:cstheme="minorHAnsi"/>
          <w:sz w:val="22"/>
          <w:szCs w:val="22"/>
        </w:rPr>
      </w:pPr>
      <w:r w:rsidRPr="00556D06">
        <w:rPr>
          <w:rStyle w:val="normaltextrun"/>
          <w:rFonts w:asciiTheme="minorHAnsi" w:hAnsiTheme="minorHAnsi" w:cstheme="minorHAnsi"/>
          <w:sz w:val="22"/>
          <w:szCs w:val="22"/>
        </w:rPr>
        <w:t>The procedure for explicit switching using DCI format 2_0 is as follows:</w:t>
      </w:r>
      <w:r w:rsidRPr="00556D06">
        <w:rPr>
          <w:rStyle w:val="eop"/>
          <w:rFonts w:asciiTheme="minorHAnsi" w:hAnsiTheme="minorHAnsi" w:cstheme="minorHAnsi"/>
          <w:sz w:val="22"/>
          <w:szCs w:val="22"/>
        </w:rPr>
        <w:t> </w:t>
      </w:r>
    </w:p>
    <w:p w:rsidR="00B47BF3" w:rsidRPr="00556D06" w:rsidRDefault="00B47BF3" w:rsidP="00B47BF3">
      <w:pPr>
        <w:pStyle w:val="paragraph"/>
        <w:numPr>
          <w:ilvl w:val="0"/>
          <w:numId w:val="4"/>
        </w:numPr>
        <w:spacing w:before="0" w:beforeAutospacing="0" w:after="0" w:afterAutospacing="0"/>
        <w:ind w:left="709" w:hanging="349"/>
        <w:jc w:val="both"/>
        <w:textAlignment w:val="baseline"/>
        <w:rPr>
          <w:rFonts w:asciiTheme="minorHAnsi" w:hAnsiTheme="minorHAnsi" w:cstheme="minorHAnsi"/>
          <w:sz w:val="22"/>
          <w:szCs w:val="22"/>
        </w:rPr>
      </w:pPr>
      <w:r w:rsidRPr="00556D06">
        <w:rPr>
          <w:rStyle w:val="normaltextrun"/>
          <w:rFonts w:asciiTheme="minorHAnsi" w:hAnsiTheme="minorHAnsi" w:cstheme="minorHAnsi"/>
          <w:sz w:val="22"/>
          <w:szCs w:val="22"/>
        </w:rPr>
        <w:t>If the UE is not monitoring PDCCH on search space sets corresponding to group0 and the UE detects DCI format 2_0, then the UE switches to search space sets of group0 provided the search-space-set- switching field indicates a value of zero, and stops monitoring PDCCH on search space sets associated with group1.</w:t>
      </w:r>
      <w:r w:rsidRPr="00556D06">
        <w:rPr>
          <w:rStyle w:val="eop"/>
          <w:rFonts w:asciiTheme="minorHAnsi" w:hAnsiTheme="minorHAnsi" w:cstheme="minorHAnsi"/>
          <w:sz w:val="22"/>
          <w:szCs w:val="22"/>
        </w:rPr>
        <w:t> </w:t>
      </w:r>
    </w:p>
    <w:p w:rsidR="00B47BF3" w:rsidRPr="00556D06" w:rsidRDefault="00B47BF3" w:rsidP="00B47BF3">
      <w:pPr>
        <w:pStyle w:val="paragraph"/>
        <w:numPr>
          <w:ilvl w:val="0"/>
          <w:numId w:val="4"/>
        </w:numPr>
        <w:spacing w:before="0" w:beforeAutospacing="0" w:after="0" w:afterAutospacing="0"/>
        <w:ind w:left="709" w:hanging="349"/>
        <w:jc w:val="both"/>
        <w:textAlignment w:val="baseline"/>
        <w:rPr>
          <w:rFonts w:asciiTheme="minorHAnsi" w:hAnsiTheme="minorHAnsi" w:cstheme="minorHAnsi"/>
          <w:sz w:val="22"/>
          <w:szCs w:val="22"/>
        </w:rPr>
      </w:pPr>
      <w:r w:rsidRPr="00556D06">
        <w:rPr>
          <w:rStyle w:val="normaltextrun"/>
          <w:rFonts w:asciiTheme="minorHAnsi" w:hAnsiTheme="minorHAnsi" w:cstheme="minorHAnsi"/>
          <w:sz w:val="22"/>
          <w:szCs w:val="22"/>
        </w:rPr>
        <w:t>If the UE is not monitoring PDCCH on search space sets corresponding to group1 and the UE detects DCI format 2_0, then the UE switches to search space sets of group1 provided the search-space-set--switching field indicates a value of one. The UE also stops monitoring PDCCH on search space sets corresponding to group0 and starts a timer with a duration provided by the s</w:t>
      </w:r>
      <w:r w:rsidRPr="00556D06">
        <w:rPr>
          <w:rStyle w:val="normaltextrun"/>
          <w:rFonts w:asciiTheme="minorHAnsi" w:hAnsiTheme="minorHAnsi" w:cstheme="minorHAnsi"/>
          <w:i/>
          <w:iCs/>
          <w:sz w:val="22"/>
          <w:szCs w:val="22"/>
        </w:rPr>
        <w:t>earchSpaceSwitchingTimer.</w:t>
      </w:r>
      <w:r w:rsidRPr="00556D06">
        <w:rPr>
          <w:rStyle w:val="eop"/>
          <w:rFonts w:asciiTheme="minorHAnsi" w:hAnsiTheme="minorHAnsi" w:cstheme="minorHAnsi"/>
          <w:sz w:val="22"/>
          <w:szCs w:val="22"/>
        </w:rPr>
        <w:t> </w:t>
      </w:r>
    </w:p>
    <w:p w:rsidR="00B47BF3" w:rsidRPr="00556D06" w:rsidRDefault="00B47BF3" w:rsidP="00B47BF3">
      <w:pPr>
        <w:pStyle w:val="paragraph"/>
        <w:numPr>
          <w:ilvl w:val="0"/>
          <w:numId w:val="4"/>
        </w:numPr>
        <w:spacing w:before="0" w:beforeAutospacing="0" w:after="0" w:afterAutospacing="0"/>
        <w:ind w:left="709" w:hanging="349"/>
        <w:jc w:val="both"/>
        <w:textAlignment w:val="baseline"/>
        <w:rPr>
          <w:rStyle w:val="normaltextrun"/>
          <w:rFonts w:asciiTheme="minorHAnsi" w:hAnsiTheme="minorHAnsi" w:cstheme="minorHAnsi"/>
          <w:sz w:val="22"/>
          <w:szCs w:val="22"/>
        </w:rPr>
      </w:pPr>
      <w:r w:rsidRPr="00556D06">
        <w:rPr>
          <w:rStyle w:val="contentcontrolboundarysink"/>
          <w:rFonts w:asciiTheme="minorHAnsi" w:hAnsiTheme="minorHAnsi" w:cstheme="minorHAnsi"/>
          <w:sz w:val="22"/>
          <w:szCs w:val="22"/>
        </w:rPr>
        <w:t>​</w:t>
      </w:r>
      <w:r w:rsidRPr="00556D06">
        <w:rPr>
          <w:rStyle w:val="normaltextrun"/>
          <w:rFonts w:asciiTheme="minorHAnsi" w:hAnsiTheme="minorHAnsi" w:cstheme="minorHAnsi"/>
          <w:sz w:val="22"/>
          <w:szCs w:val="22"/>
        </w:rPr>
        <w:t xml:space="preserve">If the UE is monitoring PDCCH on search space sets corresponding to group1, then the UE switches (or starts monitoring on) to search space sets of group0 and stops monitoring on group1 at either expiration of the </w:t>
      </w:r>
      <w:r w:rsidRPr="00556D06">
        <w:rPr>
          <w:rStyle w:val="normaltextrun"/>
          <w:rFonts w:asciiTheme="minorHAnsi" w:hAnsiTheme="minorHAnsi" w:cstheme="minorHAnsi"/>
          <w:i/>
          <w:iCs/>
          <w:sz w:val="22"/>
          <w:szCs w:val="22"/>
        </w:rPr>
        <w:t>searchSpaceSwitchingTimer</w:t>
      </w:r>
      <w:r w:rsidRPr="00556D06">
        <w:rPr>
          <w:rStyle w:val="normaltextrun"/>
          <w:rFonts w:asciiTheme="minorHAnsi" w:hAnsiTheme="minorHAnsi" w:cstheme="minorHAnsi"/>
          <w:sz w:val="22"/>
          <w:szCs w:val="22"/>
        </w:rPr>
        <w:t xml:space="preserve"> or at the last slot of a remaining channel occupancy duration for the serving cell that is indicated by DCI format 2_0.</w:t>
      </w:r>
    </w:p>
    <w:p w:rsidR="00B47BF3" w:rsidRPr="00556D06" w:rsidRDefault="00B47BF3" w:rsidP="00B47BF3">
      <w:pPr>
        <w:pStyle w:val="paragraph"/>
        <w:spacing w:before="0" w:beforeAutospacing="0" w:after="0" w:afterAutospacing="0"/>
        <w:textAlignment w:val="baseline"/>
        <w:rPr>
          <w:rStyle w:val="normaltextrun"/>
          <w:rFonts w:asciiTheme="minorHAnsi" w:hAnsiTheme="minorHAnsi" w:cstheme="minorHAnsi"/>
          <w:sz w:val="22"/>
          <w:szCs w:val="22"/>
        </w:rPr>
      </w:pPr>
    </w:p>
    <w:p w:rsidR="00B47BF3" w:rsidRDefault="00B47BF3" w:rsidP="00B47BF3">
      <w:pPr>
        <w:pStyle w:val="paragraph"/>
        <w:spacing w:before="0" w:beforeAutospacing="0" w:after="0" w:afterAutospacing="0"/>
        <w:jc w:val="center"/>
        <w:textAlignment w:val="baseline"/>
        <w:rPr>
          <w:rFonts w:asciiTheme="minorHAnsi" w:hAnsiTheme="minorHAnsi" w:cstheme="minorHAnsi"/>
          <w:sz w:val="22"/>
          <w:szCs w:val="22"/>
        </w:rPr>
      </w:pPr>
      <w:r w:rsidRPr="00556D06">
        <w:rPr>
          <w:rFonts w:asciiTheme="minorHAnsi" w:hAnsiTheme="minorHAnsi" w:cstheme="minorHAnsi"/>
          <w:noProof/>
          <w:sz w:val="22"/>
          <w:szCs w:val="22"/>
        </w:rPr>
        <w:drawing>
          <wp:inline distT="0" distB="0" distL="0" distR="0" wp14:anchorId="50D437E0" wp14:editId="78705C18">
            <wp:extent cx="3000883" cy="2052000"/>
            <wp:effectExtent l="0" t="0" r="952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00883" cy="2052000"/>
                    </a:xfrm>
                    <a:prstGeom prst="rect">
                      <a:avLst/>
                    </a:prstGeom>
                    <a:noFill/>
                    <a:ln>
                      <a:noFill/>
                    </a:ln>
                  </pic:spPr>
                </pic:pic>
              </a:graphicData>
            </a:graphic>
          </wp:inline>
        </w:drawing>
      </w:r>
    </w:p>
    <w:p w:rsidR="00B47BF3" w:rsidRDefault="00B47BF3" w:rsidP="00B47BF3">
      <w:pPr>
        <w:pStyle w:val="paragraph"/>
        <w:spacing w:before="0" w:beforeAutospacing="0" w:after="0" w:afterAutospacing="0"/>
        <w:jc w:val="center"/>
        <w:textAlignment w:val="baseline"/>
        <w:rPr>
          <w:rFonts w:asciiTheme="minorHAnsi" w:hAnsiTheme="minorHAnsi" w:cstheme="minorHAnsi"/>
          <w:sz w:val="22"/>
          <w:szCs w:val="22"/>
        </w:rPr>
      </w:pPr>
    </w:p>
    <w:p w:rsidR="00B47BF3" w:rsidRPr="00556D06" w:rsidRDefault="00B47BF3" w:rsidP="00B47BF3">
      <w:pPr>
        <w:pStyle w:val="paragraph"/>
        <w:spacing w:before="0" w:beforeAutospacing="0" w:after="0" w:afterAutospacing="0"/>
        <w:jc w:val="center"/>
        <w:textAlignment w:val="baseline"/>
        <w:rPr>
          <w:rFonts w:asciiTheme="minorHAnsi" w:hAnsiTheme="minorHAnsi" w:cstheme="minorHAnsi"/>
          <w:sz w:val="22"/>
          <w:szCs w:val="22"/>
        </w:rPr>
      </w:pPr>
      <w:r>
        <w:rPr>
          <w:rFonts w:asciiTheme="minorHAnsi" w:hAnsiTheme="minorHAnsi" w:cstheme="minorHAnsi"/>
          <w:sz w:val="22"/>
          <w:szCs w:val="22"/>
        </w:rPr>
        <w:t>Figure 3. SS-switching with explicit switching.</w:t>
      </w:r>
    </w:p>
    <w:p w:rsidR="00B47BF3" w:rsidRDefault="00B47BF3" w:rsidP="00B47BF3">
      <w:pPr>
        <w:pStyle w:val="paragraph"/>
        <w:spacing w:before="0" w:beforeAutospacing="0" w:after="0" w:afterAutospacing="0"/>
        <w:ind w:left="840" w:hanging="840"/>
        <w:textAlignment w:val="baseline"/>
        <w:rPr>
          <w:rStyle w:val="normaltextrun"/>
          <w:rFonts w:ascii="Arial" w:hAnsi="Arial" w:cs="Arial"/>
          <w:b/>
          <w:bCs/>
          <w:sz w:val="20"/>
          <w:szCs w:val="20"/>
          <w:u w:val="single"/>
        </w:rPr>
      </w:pPr>
    </w:p>
    <w:p w:rsidR="00B47BF3" w:rsidRPr="00556D06" w:rsidRDefault="00B47BF3" w:rsidP="00B47BF3">
      <w:pPr>
        <w:pStyle w:val="paragraph"/>
        <w:spacing w:before="0" w:beforeAutospacing="0" w:after="0" w:afterAutospacing="0"/>
        <w:ind w:left="840" w:hanging="840"/>
        <w:textAlignment w:val="baseline"/>
        <w:rPr>
          <w:rFonts w:asciiTheme="minorHAnsi" w:hAnsiTheme="minorHAnsi" w:cstheme="minorHAnsi"/>
          <w:b/>
          <w:bCs/>
          <w:sz w:val="20"/>
          <w:szCs w:val="20"/>
        </w:rPr>
      </w:pPr>
      <w:r w:rsidRPr="00556D06">
        <w:rPr>
          <w:rStyle w:val="normaltextrun"/>
          <w:rFonts w:asciiTheme="minorHAnsi" w:hAnsiTheme="minorHAnsi" w:cstheme="minorHAnsi"/>
          <w:b/>
          <w:bCs/>
          <w:sz w:val="22"/>
          <w:szCs w:val="22"/>
          <w:u w:val="single"/>
        </w:rPr>
        <w:t>Implicit SS Switching</w:t>
      </w:r>
      <w:r w:rsidRPr="00556D06">
        <w:rPr>
          <w:rStyle w:val="eop"/>
          <w:rFonts w:asciiTheme="minorHAnsi" w:hAnsiTheme="minorHAnsi" w:cstheme="minorHAnsi" w:hint="eastAsia"/>
          <w:b/>
          <w:bCs/>
          <w:sz w:val="22"/>
          <w:szCs w:val="22"/>
        </w:rPr>
        <w:t> </w:t>
      </w:r>
    </w:p>
    <w:p w:rsidR="00B47BF3" w:rsidRPr="00556D06" w:rsidRDefault="00B47BF3" w:rsidP="00B47BF3">
      <w:pPr>
        <w:pStyle w:val="paragraph"/>
        <w:spacing w:before="0" w:beforeAutospacing="0" w:after="0" w:afterAutospacing="0"/>
        <w:textAlignment w:val="baseline"/>
        <w:rPr>
          <w:rFonts w:asciiTheme="minorHAnsi" w:hAnsiTheme="minorHAnsi" w:cstheme="minorHAnsi"/>
          <w:sz w:val="20"/>
          <w:szCs w:val="20"/>
        </w:rPr>
      </w:pPr>
      <w:r w:rsidRPr="00556D06">
        <w:rPr>
          <w:rStyle w:val="eop"/>
          <w:rFonts w:asciiTheme="minorHAnsi" w:hAnsiTheme="minorHAnsi" w:cstheme="minorHAnsi" w:hint="eastAsia"/>
          <w:sz w:val="22"/>
          <w:szCs w:val="22"/>
        </w:rPr>
        <w:t> </w:t>
      </w:r>
    </w:p>
    <w:p w:rsidR="00B47BF3" w:rsidRPr="00556D06" w:rsidRDefault="00B47BF3" w:rsidP="00B47BF3">
      <w:pPr>
        <w:pStyle w:val="paragraph"/>
        <w:spacing w:before="0" w:beforeAutospacing="0" w:after="0" w:afterAutospacing="0"/>
        <w:textAlignment w:val="baseline"/>
        <w:rPr>
          <w:rFonts w:asciiTheme="minorHAnsi" w:hAnsiTheme="minorHAnsi" w:cstheme="minorHAnsi"/>
          <w:sz w:val="20"/>
          <w:szCs w:val="20"/>
        </w:rPr>
      </w:pPr>
      <w:r w:rsidRPr="00556D06">
        <w:rPr>
          <w:rStyle w:val="normaltextrun"/>
          <w:rFonts w:asciiTheme="minorHAnsi" w:hAnsiTheme="minorHAnsi" w:cstheme="minorHAnsi"/>
          <w:sz w:val="22"/>
          <w:szCs w:val="22"/>
        </w:rPr>
        <w:t xml:space="preserve">Implicit switching happens when the UE is not configured with the RRC </w:t>
      </w:r>
      <w:r w:rsidRPr="00556D06">
        <w:rPr>
          <w:rStyle w:val="normaltextrun"/>
          <w:rFonts w:asciiTheme="minorHAnsi" w:hAnsiTheme="minorHAnsi" w:cstheme="minorHAnsi"/>
          <w:i/>
          <w:iCs/>
          <w:sz w:val="22"/>
          <w:szCs w:val="22"/>
        </w:rPr>
        <w:t xml:space="preserve">searchSpaceSwitchTrigger-r16 </w:t>
      </w:r>
      <w:r w:rsidRPr="00556D06">
        <w:rPr>
          <w:rStyle w:val="normaltextrun"/>
          <w:rFonts w:asciiTheme="minorHAnsi" w:hAnsiTheme="minorHAnsi" w:cstheme="minorHAnsi"/>
          <w:sz w:val="22"/>
          <w:szCs w:val="22"/>
        </w:rPr>
        <w:t>parameter. The procedure is as follows:</w:t>
      </w:r>
      <w:r w:rsidRPr="00556D06">
        <w:rPr>
          <w:rStyle w:val="eop"/>
          <w:rFonts w:asciiTheme="minorHAnsi" w:hAnsiTheme="minorHAnsi" w:cstheme="minorHAnsi" w:hint="eastAsia"/>
          <w:sz w:val="22"/>
          <w:szCs w:val="22"/>
        </w:rPr>
        <w:t> </w:t>
      </w:r>
    </w:p>
    <w:p w:rsidR="00B47BF3" w:rsidRPr="00556D06" w:rsidRDefault="00B47BF3" w:rsidP="00B47BF3">
      <w:pPr>
        <w:pStyle w:val="paragraph"/>
        <w:spacing w:before="0" w:beforeAutospacing="0" w:after="0" w:afterAutospacing="0"/>
        <w:ind w:left="555" w:hanging="270"/>
        <w:textAlignment w:val="baseline"/>
        <w:rPr>
          <w:rFonts w:asciiTheme="minorHAnsi" w:hAnsiTheme="minorHAnsi" w:cstheme="minorHAnsi"/>
          <w:sz w:val="20"/>
          <w:szCs w:val="20"/>
        </w:rPr>
      </w:pPr>
      <w:r w:rsidRPr="00556D06">
        <w:rPr>
          <w:rStyle w:val="normaltextrun"/>
          <w:rFonts w:asciiTheme="minorHAnsi" w:hAnsiTheme="minorHAnsi" w:cstheme="minorHAnsi"/>
          <w:sz w:val="22"/>
          <w:szCs w:val="22"/>
        </w:rPr>
        <w:t>-</w:t>
      </w:r>
      <w:r w:rsidRPr="00556D06">
        <w:rPr>
          <w:rStyle w:val="tabchar"/>
          <w:rFonts w:asciiTheme="minorHAnsi" w:hAnsiTheme="minorHAnsi" w:cstheme="minorHAnsi"/>
          <w:sz w:val="22"/>
          <w:szCs w:val="22"/>
        </w:rPr>
        <w:tab/>
      </w:r>
      <w:r w:rsidRPr="00556D06">
        <w:rPr>
          <w:rStyle w:val="normaltextrun"/>
          <w:rFonts w:asciiTheme="minorHAnsi" w:hAnsiTheme="minorHAnsi" w:cstheme="minorHAnsi"/>
          <w:sz w:val="22"/>
          <w:szCs w:val="22"/>
        </w:rPr>
        <w:t xml:space="preserve">if the UE detects a DCI format in group0, the UE switches to monitoring PDCCH according to SS set in group1 on the serving cell at a first slot that is at least P symbols after the slot in the active DL BWP. The UE sets the timer value to the value provided by </w:t>
      </w:r>
      <w:r w:rsidRPr="00556D06">
        <w:rPr>
          <w:rStyle w:val="normaltextrun"/>
          <w:rFonts w:asciiTheme="minorHAnsi" w:hAnsiTheme="minorHAnsi" w:cstheme="minorHAnsi"/>
          <w:i/>
          <w:iCs/>
          <w:sz w:val="22"/>
          <w:szCs w:val="22"/>
        </w:rPr>
        <w:t>searchSpaceSwitchingTimer-r16</w:t>
      </w:r>
      <w:r w:rsidRPr="00556D06">
        <w:rPr>
          <w:rStyle w:val="normaltextrun"/>
          <w:rFonts w:asciiTheme="minorHAnsi" w:hAnsiTheme="minorHAnsi" w:cstheme="minorHAnsi"/>
          <w:sz w:val="22"/>
          <w:szCs w:val="22"/>
        </w:rPr>
        <w:t xml:space="preserve"> if the UE detects a DCI format by monitoring PDCCH in any search space set. This applies to every subsequent detection of a DCI in any search space; if the timer is running the UE restarts the timer.</w:t>
      </w:r>
      <w:r w:rsidRPr="00556D06">
        <w:rPr>
          <w:rStyle w:val="eop"/>
          <w:rFonts w:asciiTheme="minorHAnsi" w:hAnsiTheme="minorHAnsi" w:cstheme="minorHAnsi" w:hint="eastAsia"/>
          <w:sz w:val="22"/>
          <w:szCs w:val="22"/>
        </w:rPr>
        <w:t> </w:t>
      </w:r>
    </w:p>
    <w:p w:rsidR="00B47BF3" w:rsidRPr="00556D06" w:rsidRDefault="00B47BF3" w:rsidP="00B47BF3">
      <w:pPr>
        <w:pStyle w:val="paragraph"/>
        <w:spacing w:before="0" w:beforeAutospacing="0" w:after="0" w:afterAutospacing="0"/>
        <w:ind w:left="555" w:hanging="270"/>
        <w:textAlignment w:val="baseline"/>
        <w:rPr>
          <w:rFonts w:asciiTheme="minorHAnsi" w:hAnsiTheme="minorHAnsi" w:cstheme="minorHAnsi"/>
          <w:sz w:val="20"/>
          <w:szCs w:val="20"/>
        </w:rPr>
      </w:pPr>
      <w:r w:rsidRPr="00556D06">
        <w:rPr>
          <w:rStyle w:val="normaltextrun"/>
          <w:rFonts w:asciiTheme="minorHAnsi" w:hAnsiTheme="minorHAnsi" w:cstheme="minorHAnsi"/>
          <w:sz w:val="22"/>
          <w:szCs w:val="22"/>
        </w:rPr>
        <w:t>-</w:t>
      </w:r>
      <w:r w:rsidRPr="00556D06">
        <w:rPr>
          <w:rStyle w:val="tabchar"/>
          <w:rFonts w:asciiTheme="minorHAnsi" w:hAnsiTheme="minorHAnsi" w:cstheme="minorHAnsi"/>
          <w:sz w:val="22"/>
          <w:szCs w:val="22"/>
        </w:rPr>
        <w:tab/>
      </w:r>
      <w:r w:rsidRPr="00556D06">
        <w:rPr>
          <w:rStyle w:val="normaltextrun"/>
          <w:rFonts w:asciiTheme="minorHAnsi" w:hAnsiTheme="minorHAnsi" w:cstheme="minorHAnsi"/>
          <w:sz w:val="22"/>
          <w:szCs w:val="22"/>
        </w:rPr>
        <w:t xml:space="preserve">if the UE monitors SS sets in group1, the UE switches to monitoring SS sets in group0 at the beginning of the first slot that is at least P symbols after a slot where the timer expires or, if the UE is provided a search space set for DCI format 2_0, after a last slot of a remaining channel occupancy duration for the serving cell that is indicated by DCI format 2_0. </w:t>
      </w:r>
      <w:r w:rsidRPr="00556D06">
        <w:rPr>
          <w:rStyle w:val="eop"/>
          <w:rFonts w:asciiTheme="minorHAnsi" w:hAnsiTheme="minorHAnsi" w:cstheme="minorHAnsi" w:hint="eastAsia"/>
          <w:sz w:val="22"/>
          <w:szCs w:val="22"/>
        </w:rPr>
        <w:t> </w:t>
      </w:r>
    </w:p>
    <w:p w:rsidR="00B47BF3" w:rsidRPr="00556D06" w:rsidRDefault="00B47BF3" w:rsidP="00B47BF3">
      <w:pPr>
        <w:pStyle w:val="paragraph"/>
        <w:spacing w:before="0" w:beforeAutospacing="0" w:after="0" w:afterAutospacing="0"/>
        <w:ind w:left="270"/>
        <w:textAlignment w:val="baseline"/>
        <w:rPr>
          <w:rFonts w:asciiTheme="minorHAnsi" w:hAnsiTheme="minorHAnsi" w:cstheme="minorHAnsi"/>
          <w:sz w:val="20"/>
          <w:szCs w:val="20"/>
        </w:rPr>
      </w:pPr>
      <w:r w:rsidRPr="00556D06">
        <w:rPr>
          <w:rStyle w:val="eop"/>
          <w:rFonts w:asciiTheme="minorHAnsi" w:hAnsiTheme="minorHAnsi" w:cstheme="minorHAnsi" w:hint="eastAsia"/>
          <w:sz w:val="22"/>
          <w:szCs w:val="22"/>
        </w:rPr>
        <w:t> </w:t>
      </w:r>
    </w:p>
    <w:p w:rsidR="00B47BF3" w:rsidRDefault="00B47BF3" w:rsidP="00B47BF3">
      <w:pPr>
        <w:pStyle w:val="paragraph"/>
        <w:spacing w:before="0" w:beforeAutospacing="0" w:after="0" w:afterAutospacing="0"/>
        <w:jc w:val="center"/>
        <w:textAlignment w:val="baseline"/>
        <w:rPr>
          <w:rStyle w:val="eop"/>
          <w:rFonts w:asciiTheme="minorHAnsi" w:hAnsiTheme="minorHAnsi" w:cstheme="minorHAnsi"/>
          <w:sz w:val="22"/>
          <w:szCs w:val="22"/>
        </w:rPr>
      </w:pPr>
      <w:r w:rsidRPr="00556D06">
        <w:rPr>
          <w:rFonts w:asciiTheme="minorHAnsi" w:hAnsiTheme="minorHAnsi" w:cstheme="minorHAnsi"/>
          <w:noProof/>
          <w:sz w:val="22"/>
          <w:szCs w:val="22"/>
        </w:rPr>
        <w:lastRenderedPageBreak/>
        <w:drawing>
          <wp:inline distT="0" distB="0" distL="0" distR="0" wp14:anchorId="098A0F1D" wp14:editId="107291E5">
            <wp:extent cx="4454587" cy="2052000"/>
            <wp:effectExtent l="0" t="0" r="317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4587" cy="2052000"/>
                    </a:xfrm>
                    <a:prstGeom prst="rect">
                      <a:avLst/>
                    </a:prstGeom>
                    <a:noFill/>
                    <a:ln>
                      <a:noFill/>
                    </a:ln>
                  </pic:spPr>
                </pic:pic>
              </a:graphicData>
            </a:graphic>
          </wp:inline>
        </w:drawing>
      </w:r>
      <w:r w:rsidRPr="00556D06">
        <w:rPr>
          <w:rStyle w:val="eop"/>
          <w:rFonts w:asciiTheme="minorHAnsi" w:hAnsiTheme="minorHAnsi" w:cstheme="minorHAnsi" w:hint="eastAsia"/>
          <w:sz w:val="22"/>
          <w:szCs w:val="22"/>
        </w:rPr>
        <w:t> </w:t>
      </w:r>
    </w:p>
    <w:p w:rsidR="00B47BF3" w:rsidRDefault="00B47BF3" w:rsidP="00B47BF3">
      <w:pPr>
        <w:pStyle w:val="paragraph"/>
        <w:spacing w:before="0" w:beforeAutospacing="0" w:after="0" w:afterAutospacing="0"/>
        <w:jc w:val="center"/>
        <w:textAlignment w:val="baseline"/>
        <w:rPr>
          <w:rStyle w:val="eop"/>
          <w:rFonts w:asciiTheme="minorHAnsi" w:hAnsiTheme="minorHAnsi" w:cstheme="minorHAnsi"/>
          <w:sz w:val="22"/>
          <w:szCs w:val="22"/>
        </w:rPr>
      </w:pPr>
    </w:p>
    <w:p w:rsidR="00B47BF3" w:rsidRPr="00556D06" w:rsidRDefault="00B47BF3" w:rsidP="00B47BF3">
      <w:pPr>
        <w:pStyle w:val="paragraph"/>
        <w:spacing w:before="0" w:beforeAutospacing="0" w:after="0" w:afterAutospacing="0"/>
        <w:jc w:val="center"/>
        <w:textAlignment w:val="baseline"/>
        <w:rPr>
          <w:rFonts w:asciiTheme="minorHAnsi" w:hAnsiTheme="minorHAnsi" w:cstheme="minorHAnsi"/>
          <w:sz w:val="20"/>
          <w:szCs w:val="20"/>
        </w:rPr>
      </w:pPr>
      <w:r>
        <w:rPr>
          <w:rStyle w:val="eop"/>
          <w:rFonts w:asciiTheme="minorHAnsi" w:hAnsiTheme="minorHAnsi" w:cstheme="minorHAnsi"/>
          <w:sz w:val="22"/>
          <w:szCs w:val="22"/>
        </w:rPr>
        <w:t>Figure 4: SS-switching with implicit switching</w:t>
      </w:r>
    </w:p>
    <w:p w:rsidR="00B47BF3" w:rsidRPr="00556D06" w:rsidRDefault="00B47BF3" w:rsidP="00B47BF3">
      <w:pPr>
        <w:pStyle w:val="paragraph"/>
        <w:spacing w:before="0" w:beforeAutospacing="0" w:after="0" w:afterAutospacing="0"/>
        <w:textAlignment w:val="baseline"/>
        <w:rPr>
          <w:rFonts w:asciiTheme="minorHAnsi" w:hAnsiTheme="minorHAnsi" w:cstheme="minorHAnsi"/>
          <w:sz w:val="20"/>
          <w:szCs w:val="20"/>
        </w:rPr>
      </w:pPr>
      <w:r w:rsidRPr="00556D06">
        <w:rPr>
          <w:rStyle w:val="eop"/>
          <w:rFonts w:asciiTheme="minorHAnsi" w:hAnsiTheme="minorHAnsi" w:cstheme="minorHAnsi" w:hint="eastAsia"/>
          <w:sz w:val="22"/>
          <w:szCs w:val="22"/>
        </w:rPr>
        <w:t> </w:t>
      </w:r>
    </w:p>
    <w:p w:rsidR="00B47BF3" w:rsidRPr="00556D06" w:rsidRDefault="00B47BF3" w:rsidP="00B47BF3">
      <w:pPr>
        <w:pStyle w:val="paragraph"/>
        <w:spacing w:before="0" w:beforeAutospacing="0" w:after="0" w:afterAutospacing="0"/>
        <w:textAlignment w:val="baseline"/>
        <w:rPr>
          <w:rStyle w:val="normaltextrun"/>
          <w:rFonts w:asciiTheme="minorHAnsi" w:hAnsiTheme="minorHAnsi" w:cstheme="minorHAnsi"/>
          <w:sz w:val="22"/>
          <w:szCs w:val="22"/>
        </w:rPr>
      </w:pPr>
    </w:p>
    <w:p w:rsidR="00B47BF3" w:rsidRPr="00556D06" w:rsidRDefault="00B47BF3" w:rsidP="00B47BF3">
      <w:pPr>
        <w:pStyle w:val="paragraph"/>
        <w:spacing w:before="0" w:beforeAutospacing="0" w:after="0" w:afterAutospacing="0"/>
        <w:textAlignment w:val="baseline"/>
        <w:rPr>
          <w:rFonts w:asciiTheme="minorHAnsi" w:hAnsiTheme="minorHAnsi" w:cstheme="minorHAnsi"/>
          <w:sz w:val="20"/>
          <w:szCs w:val="20"/>
        </w:rPr>
      </w:pPr>
      <w:r w:rsidRPr="00556D06">
        <w:rPr>
          <w:rStyle w:val="eop"/>
          <w:rFonts w:asciiTheme="minorHAnsi" w:hAnsiTheme="minorHAnsi" w:cstheme="minorHAnsi" w:hint="eastAsia"/>
          <w:sz w:val="22"/>
          <w:szCs w:val="22"/>
        </w:rPr>
        <w:t> </w:t>
      </w:r>
    </w:p>
    <w:p w:rsidR="00B47BF3" w:rsidRDefault="00B47BF3" w:rsidP="00B47BF3">
      <w:pPr>
        <w:jc w:val="both"/>
        <w:rPr>
          <w:rStyle w:val="normaltextrun"/>
          <w:rFonts w:cstheme="minorHAnsi"/>
        </w:rPr>
      </w:pPr>
      <w:r w:rsidRPr="00556D06">
        <w:rPr>
          <w:rStyle w:val="normaltextrun"/>
          <w:rFonts w:cstheme="minorHAnsi"/>
        </w:rPr>
        <w:t>Cell groups are</w:t>
      </w:r>
      <w:r>
        <w:rPr>
          <w:rStyle w:val="normaltextrun"/>
          <w:rFonts w:cstheme="minorHAnsi"/>
        </w:rPr>
        <w:t xml:space="preserve"> also</w:t>
      </w:r>
      <w:r w:rsidRPr="00556D06">
        <w:rPr>
          <w:rStyle w:val="normaltextrun"/>
          <w:rFonts w:cstheme="minorHAnsi"/>
        </w:rPr>
        <w:t xml:space="preserve"> defined for SS set </w:t>
      </w:r>
      <w:r>
        <w:rPr>
          <w:rStyle w:val="normaltextrun"/>
          <w:rFonts w:cstheme="minorHAnsi"/>
        </w:rPr>
        <w:t xml:space="preserve">group </w:t>
      </w:r>
      <w:r w:rsidRPr="00556D06">
        <w:rPr>
          <w:rStyle w:val="normaltextrun"/>
          <w:rFonts w:cstheme="minorHAnsi"/>
        </w:rPr>
        <w:t>switching such that if SS switching is triggered for one cell in the group of cell</w:t>
      </w:r>
      <w:r>
        <w:rPr>
          <w:rStyle w:val="normaltextrun"/>
          <w:rFonts w:cstheme="minorHAnsi"/>
        </w:rPr>
        <w:t>s</w:t>
      </w:r>
      <w:r w:rsidRPr="00556D06">
        <w:rPr>
          <w:rStyle w:val="normaltextrun"/>
          <w:rFonts w:cstheme="minorHAnsi"/>
        </w:rPr>
        <w:t xml:space="preserve">, it also triggers SS  switching for all cells in the corresponding group. </w:t>
      </w:r>
    </w:p>
    <w:p w:rsidR="00B47BF3" w:rsidRPr="00556D06" w:rsidRDefault="00B47BF3" w:rsidP="00B47BF3">
      <w:pPr>
        <w:jc w:val="both"/>
        <w:rPr>
          <w:rFonts w:cstheme="minorHAnsi"/>
          <w:sz w:val="24"/>
          <w:szCs w:val="24"/>
          <w:lang w:val="en-GB" w:eastAsia="ja-JP"/>
        </w:rPr>
      </w:pPr>
      <w:r>
        <w:rPr>
          <w:rStyle w:val="normaltextrun"/>
          <w:rFonts w:cstheme="minorHAnsi"/>
        </w:rPr>
        <w:t>How to achieve UE power savings with SSSG switching is described next.</w:t>
      </w:r>
    </w:p>
    <w:p w:rsidR="00B47BF3" w:rsidRDefault="00B47BF3" w:rsidP="00B47BF3">
      <w:pPr>
        <w:jc w:val="both"/>
        <w:rPr>
          <w:lang w:val="en-GB" w:eastAsia="ja-JP"/>
        </w:rPr>
      </w:pPr>
      <w:r>
        <w:rPr>
          <w:lang w:val="en-GB" w:eastAsia="ja-JP"/>
        </w:rPr>
        <w:t>O</w:t>
      </w:r>
      <w:r w:rsidRPr="000F5327">
        <w:rPr>
          <w:lang w:val="en-GB" w:eastAsia="ja-JP"/>
        </w:rPr>
        <w:t xml:space="preserve">ne of the SS-set group </w:t>
      </w:r>
      <w:r>
        <w:rPr>
          <w:lang w:val="en-GB" w:eastAsia="ja-JP"/>
        </w:rPr>
        <w:t xml:space="preserve">can be configured </w:t>
      </w:r>
      <w:r w:rsidRPr="000F5327">
        <w:rPr>
          <w:lang w:val="en-GB" w:eastAsia="ja-JP"/>
        </w:rPr>
        <w:t xml:space="preserve">with a denser PDCCH monitoring occasions (MOs) and another SS-set group with a sparser PDCCH MOs. The </w:t>
      </w:r>
      <w:r>
        <w:rPr>
          <w:lang w:val="en-GB" w:eastAsia="ja-JP"/>
        </w:rPr>
        <w:t>NW</w:t>
      </w:r>
      <w:r w:rsidRPr="000F5327">
        <w:rPr>
          <w:lang w:val="en-GB" w:eastAsia="ja-JP"/>
        </w:rPr>
        <w:t xml:space="preserve"> can </w:t>
      </w:r>
      <w:r>
        <w:rPr>
          <w:lang w:val="en-GB" w:eastAsia="ja-JP"/>
        </w:rPr>
        <w:t xml:space="preserve">dynamically indicate the UE to </w:t>
      </w:r>
      <w:r w:rsidRPr="000F5327">
        <w:rPr>
          <w:lang w:val="en-GB" w:eastAsia="ja-JP"/>
        </w:rPr>
        <w:t>switch between those SS-set groups. For example, when the UE waits for a data burst to arrive, it can be in a sparse PDCCH monitoring state (and thus, saving power); and it can switch to a denser PDCCH monitoring when the data burst arrives.</w:t>
      </w:r>
    </w:p>
    <w:p w:rsidR="00B47BF3" w:rsidRDefault="00B47BF3" w:rsidP="00B47BF3">
      <w:pPr>
        <w:rPr>
          <w:lang w:val="en-GB" w:eastAsia="ja-JP"/>
        </w:rPr>
      </w:pPr>
    </w:p>
    <w:p w:rsidR="00B47BF3" w:rsidRDefault="00B47BF3" w:rsidP="00B47BF3">
      <w:pPr>
        <w:jc w:val="center"/>
        <w:rPr>
          <w:lang w:val="en-GB" w:eastAsia="ja-JP"/>
        </w:rPr>
      </w:pPr>
      <w:r>
        <w:rPr>
          <w:rFonts w:cstheme="minorHAnsi"/>
          <w:noProof/>
          <w:lang w:eastAsia="ja-JP"/>
        </w:rPr>
        <w:drawing>
          <wp:inline distT="0" distB="0" distL="0" distR="0" wp14:anchorId="1653C72D" wp14:editId="270CB9AE">
            <wp:extent cx="5400000" cy="1134944"/>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134944"/>
                    </a:xfrm>
                    <a:prstGeom prst="rect">
                      <a:avLst/>
                    </a:prstGeom>
                    <a:noFill/>
                  </pic:spPr>
                </pic:pic>
              </a:graphicData>
            </a:graphic>
          </wp:inline>
        </w:drawing>
      </w:r>
    </w:p>
    <w:p w:rsidR="00B47BF3" w:rsidRDefault="00B47BF3" w:rsidP="00B47BF3">
      <w:pPr>
        <w:jc w:val="center"/>
        <w:rPr>
          <w:rFonts w:cstheme="minorHAnsi"/>
          <w:lang w:eastAsia="ja-JP"/>
        </w:rPr>
      </w:pPr>
      <w:r>
        <w:rPr>
          <w:rFonts w:cstheme="minorHAnsi"/>
          <w:lang w:eastAsia="ja-JP"/>
        </w:rPr>
        <w:t>Figure 5. Achieving power-saving with SS-switching, i.e., configuring the UE with sparse and dense PDCCH monitoring.</w:t>
      </w:r>
    </w:p>
    <w:p w:rsidR="00B47BF3" w:rsidRDefault="00B47BF3" w:rsidP="00B47BF3">
      <w:pPr>
        <w:jc w:val="both"/>
        <w:rPr>
          <w:lang w:val="en-GB" w:eastAsia="ja-JP"/>
        </w:rPr>
      </w:pPr>
      <w:r>
        <w:rPr>
          <w:lang w:val="en-GB" w:eastAsia="ja-JP"/>
        </w:rPr>
        <w:t xml:space="preserve">SSSG switching can also be used to achieve PDCCH skipping behaviour. </w:t>
      </w:r>
    </w:p>
    <w:p w:rsidR="00B47BF3" w:rsidRDefault="00B47BF3" w:rsidP="00B47BF3">
      <w:pPr>
        <w:jc w:val="both"/>
        <w:rPr>
          <w:lang w:eastAsia="ja-JP"/>
        </w:rPr>
      </w:pPr>
      <w:r>
        <w:rPr>
          <w:lang w:val="en-GB" w:eastAsia="ja-JP"/>
        </w:rPr>
        <w:t xml:space="preserve">NW can configure the SS-set group0 with </w:t>
      </w:r>
      <w:r>
        <w:rPr>
          <w:lang w:eastAsia="ja-JP"/>
        </w:rPr>
        <w:t xml:space="preserve">“normal” PDCCH monitoring (e.g. monitoring PDCCH in each slot) and SS-set group1 with no PDCCH MO (e.g. SS-set group1 is empty). This example can be seen in Figure 6. In the figure, the blue rectangle represents the SS-set group0, in which the UE monitors the PDCCH in every slots; and the light grey rectangle represents the SS-set group1, in which the UE is configured with no PDCCH MO (e.g., SS-set group1 is empty). Note that in here, the explicit switching command is used to transition from group0 to group1, and a timer-expiry based transition from group1 to group0 is used. </w:t>
      </w:r>
    </w:p>
    <w:p w:rsidR="00B47BF3" w:rsidRDefault="00B47BF3" w:rsidP="00B47BF3">
      <w:pPr>
        <w:rPr>
          <w:lang w:eastAsia="ja-JP"/>
        </w:rPr>
      </w:pPr>
    </w:p>
    <w:p w:rsidR="00B47BF3" w:rsidRDefault="00B47BF3" w:rsidP="00B47BF3">
      <w:pPr>
        <w:jc w:val="center"/>
        <w:rPr>
          <w:lang w:val="en-GB" w:eastAsia="ja-JP"/>
        </w:rPr>
      </w:pPr>
      <w:r>
        <w:rPr>
          <w:noProof/>
          <w:lang w:eastAsia="ja-JP"/>
        </w:rPr>
        <w:lastRenderedPageBreak/>
        <w:drawing>
          <wp:inline distT="0" distB="0" distL="0" distR="0" wp14:anchorId="2E3C01C2" wp14:editId="4F1C3622">
            <wp:extent cx="5400000" cy="109975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099755"/>
                    </a:xfrm>
                    <a:prstGeom prst="rect">
                      <a:avLst/>
                    </a:prstGeom>
                    <a:noFill/>
                  </pic:spPr>
                </pic:pic>
              </a:graphicData>
            </a:graphic>
          </wp:inline>
        </w:drawing>
      </w:r>
    </w:p>
    <w:p w:rsidR="00B47BF3" w:rsidRDefault="00B47BF3" w:rsidP="00B47BF3">
      <w:pPr>
        <w:jc w:val="center"/>
        <w:rPr>
          <w:rFonts w:cstheme="minorHAnsi"/>
          <w:lang w:eastAsia="ja-JP"/>
        </w:rPr>
      </w:pPr>
      <w:r>
        <w:rPr>
          <w:rFonts w:cstheme="minorHAnsi"/>
          <w:lang w:eastAsia="ja-JP"/>
        </w:rPr>
        <w:t>Figure 6. SS-switching used for PDCCH-skipping</w:t>
      </w:r>
    </w:p>
    <w:p w:rsidR="00B47BF3" w:rsidRPr="00AD5F93" w:rsidRDefault="00B47BF3" w:rsidP="00B47BF3">
      <w:pPr>
        <w:pStyle w:val="Heading3"/>
      </w:pPr>
      <w:r w:rsidRPr="00AD5F93">
        <w:t>2.1.</w:t>
      </w:r>
      <w:r>
        <w:t>3</w:t>
      </w:r>
      <w:r w:rsidRPr="00AD5F93">
        <w:t xml:space="preserve"> </w:t>
      </w:r>
      <w:r>
        <w:t>Skipping vs switching</w:t>
      </w:r>
    </w:p>
    <w:p w:rsidR="00B47BF3" w:rsidRDefault="00B47BF3" w:rsidP="00B47BF3">
      <w:pPr>
        <w:jc w:val="both"/>
        <w:rPr>
          <w:lang w:val="en-GB" w:eastAsia="ja-JP"/>
        </w:rPr>
      </w:pPr>
      <w:r>
        <w:rPr>
          <w:lang w:val="en-GB" w:eastAsia="ja-JP"/>
        </w:rPr>
        <w:t xml:space="preserve">Both PDCCH skipping and SSSG switching target reduced </w:t>
      </w:r>
      <w:r w:rsidRPr="00944B07">
        <w:rPr>
          <w:lang w:val="en-GB" w:eastAsia="ja-JP"/>
        </w:rPr>
        <w:t xml:space="preserve">PDCCH monitoring during the </w:t>
      </w:r>
      <w:r>
        <w:rPr>
          <w:lang w:val="en-GB" w:eastAsia="ja-JP"/>
        </w:rPr>
        <w:t xml:space="preserve">time when </w:t>
      </w:r>
      <w:r w:rsidRPr="00944B07">
        <w:rPr>
          <w:lang w:val="en-GB" w:eastAsia="ja-JP"/>
        </w:rPr>
        <w:t>inactivity timer (IAT)</w:t>
      </w:r>
      <w:r>
        <w:rPr>
          <w:lang w:val="en-GB" w:eastAsia="ja-JP"/>
        </w:rPr>
        <w:t xml:space="preserve"> is running</w:t>
      </w:r>
      <w:r w:rsidRPr="00944B07">
        <w:rPr>
          <w:lang w:val="en-GB" w:eastAsia="ja-JP"/>
        </w:rPr>
        <w:t>.</w:t>
      </w:r>
      <w:r>
        <w:rPr>
          <w:lang w:val="en-GB" w:eastAsia="ja-JP"/>
        </w:rPr>
        <w:t xml:space="preserve"> Thus, it is not expected that supporting both schemes would lead to cumulative performance gains. </w:t>
      </w:r>
    </w:p>
    <w:p w:rsidR="00B47BF3" w:rsidRDefault="00B47BF3" w:rsidP="00B47BF3">
      <w:pPr>
        <w:jc w:val="both"/>
        <w:rPr>
          <w:lang w:val="en-GB" w:eastAsia="ja-JP"/>
        </w:rPr>
      </w:pPr>
      <w:r>
        <w:rPr>
          <w:lang w:val="en-GB" w:eastAsia="ja-JP"/>
        </w:rPr>
        <w:t xml:space="preserve">As explained in previous section, with suitable parameter settings and configurations, the SSSG scheme can be used to mimic PDCCH skipping. </w:t>
      </w:r>
    </w:p>
    <w:p w:rsidR="00B47BF3" w:rsidRDefault="00B47BF3" w:rsidP="00B47BF3">
      <w:pPr>
        <w:jc w:val="both"/>
        <w:rPr>
          <w:lang w:val="en-GB" w:eastAsia="ja-JP"/>
        </w:rPr>
      </w:pPr>
      <w:r>
        <w:rPr>
          <w:lang w:val="en-GB" w:eastAsia="ja-JP"/>
        </w:rPr>
        <w:t>PDCCH skipping with long durations (e.g. skip to next On duration) can lead to undesirable system performance as it can nullify benefits offered by DRX functionality (UE comes out of DRX when UL data is received).</w:t>
      </w:r>
    </w:p>
    <w:p w:rsidR="00B47BF3" w:rsidRDefault="00B47BF3" w:rsidP="00B47BF3">
      <w:pPr>
        <w:jc w:val="both"/>
        <w:rPr>
          <w:lang w:val="en-GB" w:eastAsia="ja-JP"/>
        </w:rPr>
      </w:pPr>
      <w:r>
        <w:rPr>
          <w:lang w:val="en-GB" w:eastAsia="ja-JP"/>
        </w:rPr>
        <w:t>The performance of SSSG switching and PDCCH skipping is shown in [2]. The power-saving gain during the active time depends on the DRX configuration, i.e., in some configurations (e.g. when short cycle DRX is enabled), the scope of power-saving gain achievable by SSSG switching or PDCCH skipping is quite limited.</w:t>
      </w:r>
      <w:r w:rsidRPr="00944B07">
        <w:rPr>
          <w:lang w:val="en-GB" w:eastAsia="ja-JP"/>
        </w:rPr>
        <w:t xml:space="preserve"> </w:t>
      </w:r>
      <w:r>
        <w:rPr>
          <w:lang w:val="en-GB" w:eastAsia="ja-JP"/>
        </w:rPr>
        <w:t>The incremental gains by specifying both SSSG switching and PDCCH skipping as opposed to specifying just one of them would be negligible.</w:t>
      </w:r>
    </w:p>
    <w:p w:rsidR="00B47BF3" w:rsidRPr="00A6543C" w:rsidRDefault="00B47BF3" w:rsidP="00B47BF3">
      <w:pPr>
        <w:jc w:val="both"/>
        <w:rPr>
          <w:lang w:val="en-GB" w:eastAsia="ja-JP"/>
        </w:rPr>
      </w:pPr>
      <w:r>
        <w:rPr>
          <w:lang w:val="en-GB" w:eastAsia="ja-JP"/>
        </w:rPr>
        <w:t xml:space="preserve">Given all the above, it is proposed that RAN1 specifies SSSG switching with suitable extensions and modifications.  </w:t>
      </w:r>
    </w:p>
    <w:p w:rsidR="00B47BF3" w:rsidRDefault="00B47BF3" w:rsidP="00B47BF3">
      <w:pPr>
        <w:pStyle w:val="ListParagraph"/>
        <w:ind w:left="0"/>
        <w:rPr>
          <w:lang w:val="en-GB" w:eastAsia="ja-JP"/>
        </w:rPr>
      </w:pPr>
    </w:p>
    <w:p w:rsidR="00B47BF3" w:rsidRPr="007070C7" w:rsidRDefault="00B47BF3" w:rsidP="00B47BF3">
      <w:pPr>
        <w:pStyle w:val="Proposal"/>
        <w:tabs>
          <w:tab w:val="clear" w:pos="1304"/>
        </w:tabs>
        <w:ind w:left="1701" w:hanging="1701"/>
        <w:jc w:val="left"/>
        <w:rPr>
          <w:rFonts w:asciiTheme="minorHAnsi" w:hAnsiTheme="minorHAnsi" w:cstheme="minorHAnsi"/>
        </w:rPr>
      </w:pPr>
      <w:bookmarkStart w:id="1" w:name="_Toc61891276"/>
      <w:r>
        <w:rPr>
          <w:rFonts w:asciiTheme="minorHAnsi" w:hAnsiTheme="minorHAnsi" w:cstheme="minorHAnsi"/>
        </w:rPr>
        <w:t xml:space="preserve">For Rel-17 UE power savings, specify extension/modification of search space </w:t>
      </w:r>
      <w:r w:rsidRPr="00556D06">
        <w:rPr>
          <w:rFonts w:asciiTheme="minorHAnsi" w:hAnsiTheme="minorHAnsi" w:cstheme="minorHAnsi"/>
        </w:rPr>
        <w:t>set group switching.</w:t>
      </w:r>
      <w:bookmarkEnd w:id="1"/>
    </w:p>
    <w:p w:rsidR="00B47BF3" w:rsidRDefault="00B47BF3" w:rsidP="00B47BF3">
      <w:pPr>
        <w:pStyle w:val="Heading2"/>
      </w:pPr>
      <w:r>
        <w:t>2. 2</w:t>
      </w:r>
      <w:r>
        <w:tab/>
        <w:t xml:space="preserve">Enhancements for SSSG switching </w:t>
      </w:r>
    </w:p>
    <w:p w:rsidR="00B47BF3" w:rsidRPr="004C5E01" w:rsidRDefault="00B47BF3" w:rsidP="00B47BF3">
      <w:pPr>
        <w:jc w:val="both"/>
        <w:rPr>
          <w:lang w:val="en-GB" w:eastAsia="ja-JP"/>
        </w:rPr>
      </w:pPr>
      <w:r>
        <w:rPr>
          <w:lang w:val="en-GB" w:eastAsia="ja-JP"/>
        </w:rPr>
        <w:t>Using the current NR-U mechanism, switching indication can be initiated both by using implicit indication and explicit command though the latter is limited to DCI format 2_0 indication. One enhancement that should be supported in Rel-17 is including the trigger in the scheduling DCI. This allows a light-weight mechanism for signalling search space switching without incurring large PDCCH signalling overhead. This signalling can be configured in at least the downlink non-fallback DCI format i.e. 1_1. While the indication can also be included in the uplink DCI format i.e. 0_1, it can become a bit cumbersome to manage uplink HARQ retransmissions. This aspect needs to be studied a bit further. For other DCI formats such as 0_2 and 1_2, these compact DCI formats target DCI size reduction for eURLLC use cases and hence increasing their payload size for UE power savings is not preferable. Therefore, we propose to introduce an explicit indication through scheduling DCI 1_1 and study 0_1 further.</w:t>
      </w:r>
    </w:p>
    <w:p w:rsidR="00B47BF3" w:rsidRPr="009E272E" w:rsidRDefault="00B47BF3" w:rsidP="00B47BF3">
      <w:pPr>
        <w:pStyle w:val="Proposal"/>
        <w:tabs>
          <w:tab w:val="clear" w:pos="1304"/>
        </w:tabs>
        <w:ind w:left="1701" w:hanging="1701"/>
        <w:rPr>
          <w:rFonts w:asciiTheme="minorHAnsi" w:hAnsiTheme="minorHAnsi" w:cstheme="minorHAnsi"/>
        </w:rPr>
      </w:pPr>
      <w:bookmarkStart w:id="2" w:name="_Toc57649587"/>
      <w:bookmarkStart w:id="3" w:name="_Toc61891277"/>
      <w:r>
        <w:rPr>
          <w:rFonts w:asciiTheme="minorHAnsi" w:hAnsiTheme="minorHAnsi" w:cstheme="minorHAnsi"/>
        </w:rPr>
        <w:t>Support explicit indication of search space set group switching via scheduling DCI format 1_1. FFS : DCI format 0_1</w:t>
      </w:r>
      <w:bookmarkEnd w:id="2"/>
      <w:r>
        <w:rPr>
          <w:rFonts w:asciiTheme="minorHAnsi" w:hAnsiTheme="minorHAnsi" w:cstheme="minorHAnsi"/>
        </w:rPr>
        <w:t>.</w:t>
      </w:r>
      <w:bookmarkEnd w:id="3"/>
      <w:r>
        <w:rPr>
          <w:rFonts w:asciiTheme="minorHAnsi" w:hAnsiTheme="minorHAnsi" w:cstheme="minorHAnsi"/>
        </w:rPr>
        <w:t xml:space="preserve"> </w:t>
      </w:r>
    </w:p>
    <w:p w:rsidR="00B47BF3" w:rsidRPr="00843876" w:rsidRDefault="00B47BF3" w:rsidP="00B47BF3">
      <w:pPr>
        <w:rPr>
          <w:lang w:val="en-GB" w:eastAsia="ja-JP"/>
        </w:rPr>
      </w:pPr>
      <w:r w:rsidRPr="00D334B2">
        <w:rPr>
          <w:lang w:val="en-GB" w:eastAsia="ja-JP"/>
        </w:rPr>
        <w:t xml:space="preserve"> </w:t>
      </w:r>
    </w:p>
    <w:p w:rsidR="00B47BF3" w:rsidRDefault="00B47BF3" w:rsidP="00B47BF3">
      <w:pPr>
        <w:pStyle w:val="Heading3"/>
        <w:ind w:left="0" w:firstLine="0"/>
      </w:pPr>
      <w:r>
        <w:lastRenderedPageBreak/>
        <w:t>2. 2. 1</w:t>
      </w:r>
      <w:r>
        <w:tab/>
        <w:t>Multi-cell operation</w:t>
      </w:r>
    </w:p>
    <w:p w:rsidR="00B47BF3" w:rsidRDefault="00B47BF3" w:rsidP="00B47BF3">
      <w:pPr>
        <w:jc w:val="both"/>
        <w:rPr>
          <w:lang w:val="en-GB" w:eastAsia="ja-JP"/>
        </w:rPr>
      </w:pPr>
      <w:r>
        <w:rPr>
          <w:lang w:val="en-GB" w:eastAsia="ja-JP"/>
        </w:rPr>
        <w:t xml:space="preserve">The PCell should be able to control SSSG switching for itself and the same approach should be extended to SCells. Then, there are also cases where certain group of cells (e.g. cells in a particular band) need to be controlled together. For this kind of multi-cell control, similar approach as Rel16 where the SSSGs are set for a group of cells can be used. Other option is to have an indication on another cell e.g. by reusing Rel16  SCell dormancy indication, wherein PCell DCI format controls the SSSG switching functionality for multiple groups of cells. </w:t>
      </w:r>
    </w:p>
    <w:p w:rsidR="00B47BF3" w:rsidRPr="00556D06" w:rsidRDefault="00B47BF3" w:rsidP="00B47BF3">
      <w:pPr>
        <w:jc w:val="both"/>
        <w:rPr>
          <w:lang w:val="en-GB" w:eastAsia="ja-JP"/>
        </w:rPr>
      </w:pPr>
      <w:r>
        <w:rPr>
          <w:lang w:val="en-GB" w:eastAsia="ja-JP"/>
        </w:rPr>
        <w:t>When both FR1 and FR2 are used, for example, it will be beneficial if the UE could use the PCell in FR1 to control the SS-set group in FR2. In one example, after the data burst, the UE may use not-so-sparse monitoring in PCell while using very sparse monitoring (or even no monitoring) in FR2. When the data burst arrives, PCell could immediately switch the FR2 cells to use the dense monitoring, minimizing UPT impact.</w:t>
      </w:r>
    </w:p>
    <w:p w:rsidR="00B47BF3" w:rsidRDefault="00B47BF3" w:rsidP="00B47BF3">
      <w:pPr>
        <w:pStyle w:val="Proposal"/>
        <w:tabs>
          <w:tab w:val="clear" w:pos="1304"/>
        </w:tabs>
        <w:ind w:left="1701" w:hanging="1701"/>
        <w:rPr>
          <w:rFonts w:asciiTheme="minorHAnsi" w:hAnsiTheme="minorHAnsi" w:cstheme="minorHAnsi"/>
        </w:rPr>
      </w:pPr>
      <w:bookmarkStart w:id="4" w:name="_Toc61289712"/>
      <w:bookmarkStart w:id="5" w:name="_Toc61540495"/>
      <w:bookmarkStart w:id="6" w:name="_Toc61891278"/>
      <w:bookmarkEnd w:id="4"/>
      <w:bookmarkEnd w:id="5"/>
      <w:r>
        <w:rPr>
          <w:rFonts w:asciiTheme="minorHAnsi" w:hAnsiTheme="minorHAnsi" w:cstheme="minorHAnsi"/>
        </w:rPr>
        <w:t xml:space="preserve">For self-scheduling, PCell’s scheduling DCI format 1_1 can indicate SSSG switching for the primary cell. </w:t>
      </w:r>
      <w:r w:rsidRPr="00165051">
        <w:rPr>
          <w:rFonts w:asciiTheme="minorHAnsi" w:hAnsiTheme="minorHAnsi" w:cstheme="minorHAnsi"/>
        </w:rPr>
        <w:t xml:space="preserve">Details of the </w:t>
      </w:r>
      <w:r>
        <w:rPr>
          <w:rFonts w:asciiTheme="minorHAnsi" w:hAnsiTheme="minorHAnsi" w:cstheme="minorHAnsi"/>
        </w:rPr>
        <w:t>indication</w:t>
      </w:r>
      <w:r w:rsidRPr="00165051">
        <w:rPr>
          <w:rFonts w:asciiTheme="minorHAnsi" w:hAnsiTheme="minorHAnsi" w:cstheme="minorHAnsi"/>
        </w:rPr>
        <w:t xml:space="preserve"> FFS.</w:t>
      </w:r>
      <w:bookmarkEnd w:id="6"/>
      <w:r w:rsidRPr="00165051">
        <w:rPr>
          <w:rFonts w:asciiTheme="minorHAnsi" w:hAnsiTheme="minorHAnsi" w:cstheme="minorHAnsi"/>
        </w:rPr>
        <w:t xml:space="preserve"> </w:t>
      </w:r>
    </w:p>
    <w:p w:rsidR="00B47BF3" w:rsidRPr="00CB636C" w:rsidRDefault="00B47BF3" w:rsidP="00B47BF3">
      <w:pPr>
        <w:pStyle w:val="Proposal"/>
        <w:tabs>
          <w:tab w:val="clear" w:pos="1304"/>
        </w:tabs>
        <w:ind w:left="1701" w:hanging="1701"/>
        <w:rPr>
          <w:rFonts w:asciiTheme="minorHAnsi" w:hAnsiTheme="minorHAnsi" w:cstheme="minorHAnsi"/>
        </w:rPr>
      </w:pPr>
      <w:bookmarkStart w:id="7" w:name="_Toc61891279"/>
      <w:r>
        <w:rPr>
          <w:rFonts w:asciiTheme="minorHAnsi" w:hAnsiTheme="minorHAnsi" w:cstheme="minorHAnsi"/>
        </w:rPr>
        <w:t xml:space="preserve">For self-scheduling, an SCell’s scheduling DCI format 1_1 can indicate SSSG switching for the SCell. </w:t>
      </w:r>
      <w:r w:rsidRPr="00165051">
        <w:rPr>
          <w:rFonts w:asciiTheme="minorHAnsi" w:hAnsiTheme="minorHAnsi" w:cstheme="minorHAnsi"/>
        </w:rPr>
        <w:t xml:space="preserve">Details of the </w:t>
      </w:r>
      <w:r>
        <w:rPr>
          <w:rFonts w:asciiTheme="minorHAnsi" w:hAnsiTheme="minorHAnsi" w:cstheme="minorHAnsi"/>
        </w:rPr>
        <w:t>indication</w:t>
      </w:r>
      <w:r w:rsidRPr="00165051">
        <w:rPr>
          <w:rFonts w:asciiTheme="minorHAnsi" w:hAnsiTheme="minorHAnsi" w:cstheme="minorHAnsi"/>
        </w:rPr>
        <w:t xml:space="preserve"> FFS.</w:t>
      </w:r>
      <w:bookmarkEnd w:id="7"/>
      <w:r w:rsidRPr="00165051">
        <w:rPr>
          <w:rFonts w:asciiTheme="minorHAnsi" w:hAnsiTheme="minorHAnsi" w:cstheme="minorHAnsi"/>
        </w:rPr>
        <w:t xml:space="preserve"> </w:t>
      </w:r>
    </w:p>
    <w:p w:rsidR="00B47BF3" w:rsidRPr="00165051" w:rsidRDefault="00B47BF3" w:rsidP="00B47BF3">
      <w:pPr>
        <w:pStyle w:val="Proposal"/>
        <w:tabs>
          <w:tab w:val="clear" w:pos="1304"/>
        </w:tabs>
        <w:ind w:left="1701" w:hanging="1701"/>
        <w:rPr>
          <w:rFonts w:asciiTheme="minorHAnsi" w:hAnsiTheme="minorHAnsi" w:cstheme="minorHAnsi"/>
        </w:rPr>
      </w:pPr>
      <w:bookmarkStart w:id="8" w:name="_Toc61891280"/>
      <w:r>
        <w:rPr>
          <w:rFonts w:asciiTheme="minorHAnsi" w:hAnsiTheme="minorHAnsi" w:cstheme="minorHAnsi"/>
        </w:rPr>
        <w:t xml:space="preserve">Study further how to support SSSG switching for multiple groups of cell(s). </w:t>
      </w:r>
      <w:r w:rsidRPr="00165051">
        <w:rPr>
          <w:rFonts w:asciiTheme="minorHAnsi" w:hAnsiTheme="minorHAnsi" w:cstheme="minorHAnsi"/>
        </w:rPr>
        <w:t>Details including number of groups FFS.</w:t>
      </w:r>
      <w:bookmarkEnd w:id="8"/>
      <w:r w:rsidRPr="00165051">
        <w:rPr>
          <w:rFonts w:asciiTheme="minorHAnsi" w:hAnsiTheme="minorHAnsi" w:cstheme="minorHAnsi"/>
        </w:rPr>
        <w:t xml:space="preserve"> </w:t>
      </w:r>
    </w:p>
    <w:p w:rsidR="00B47BF3" w:rsidRDefault="00B47BF3" w:rsidP="00B47BF3">
      <w:pPr>
        <w:pStyle w:val="Heading3"/>
      </w:pPr>
      <w:r>
        <w:t>2. 3. 3</w:t>
      </w:r>
      <w:r>
        <w:tab/>
        <w:t>HARQ impact</w:t>
      </w:r>
    </w:p>
    <w:p w:rsidR="00B47BF3" w:rsidRDefault="00B47BF3" w:rsidP="00B47BF3">
      <w:pPr>
        <w:jc w:val="both"/>
        <w:rPr>
          <w:lang w:val="en-GB" w:eastAsia="ja-JP"/>
        </w:rPr>
      </w:pPr>
      <w:r>
        <w:rPr>
          <w:lang w:val="en-GB" w:eastAsia="ja-JP"/>
        </w:rPr>
        <w:t xml:space="preserve">UE power-saving through SSSG is achieved by switching to a SS-set group with sparse monitoring at the end of data burst. Since the trigger is sent via scheduling DCI format, the gNB would typically send the switching command in a DCI anticipating that the corresponding PDSCH is successfully received. However, this cannot be always guaranteed, and a pre-mature SSSG switching to sparse monitoring increases delays in packet delivery. In DRX, HARQ timers can handle such issues. A similar mechanism is needed for SSSG switching. One option is to specify a timer or application delay for SSSG switching that is large enough to cover the HARQ feedback time, and NW can take any corrective measures to avoid unusual delays in case of NACK. One more option is to add a condition such as successful ACK transmission as a trigger for UE applying the SSSG switching command.  </w:t>
      </w:r>
    </w:p>
    <w:p w:rsidR="00B47BF3" w:rsidRDefault="00B47BF3" w:rsidP="00B47BF3">
      <w:pPr>
        <w:pStyle w:val="Proposal"/>
        <w:tabs>
          <w:tab w:val="clear" w:pos="1304"/>
        </w:tabs>
        <w:ind w:left="1701" w:hanging="1701"/>
        <w:rPr>
          <w:rFonts w:asciiTheme="minorHAnsi" w:hAnsiTheme="minorHAnsi" w:cstheme="minorHAnsi"/>
        </w:rPr>
      </w:pPr>
      <w:bookmarkStart w:id="9" w:name="_Toc61289714"/>
      <w:bookmarkStart w:id="10" w:name="_Toc61540497"/>
      <w:bookmarkStart w:id="11" w:name="_Toc61891281"/>
      <w:bookmarkEnd w:id="9"/>
      <w:bookmarkEnd w:id="10"/>
      <w:r>
        <w:rPr>
          <w:rFonts w:asciiTheme="minorHAnsi" w:hAnsiTheme="minorHAnsi" w:cstheme="minorHAnsi"/>
        </w:rPr>
        <w:t>HARQ retransmissions should not be delayed due to SSSG switching and mechanisms to avoid this should be supported e.g. a configurable timer-based application delay or HARQ feedback-based application of the SSSG switching command.</w:t>
      </w:r>
      <w:bookmarkEnd w:id="11"/>
      <w:r>
        <w:rPr>
          <w:rFonts w:asciiTheme="minorHAnsi" w:hAnsiTheme="minorHAnsi" w:cstheme="minorHAnsi"/>
        </w:rPr>
        <w:t xml:space="preserve"> </w:t>
      </w:r>
    </w:p>
    <w:p w:rsidR="00B47BF3" w:rsidRDefault="00B47BF3" w:rsidP="00B47BF3">
      <w:pPr>
        <w:pStyle w:val="Heading3"/>
      </w:pPr>
      <w:r>
        <w:t>2. 3. 4</w:t>
      </w:r>
      <w:r>
        <w:tab/>
        <w:t xml:space="preserve">Interaction with DRX </w:t>
      </w:r>
    </w:p>
    <w:p w:rsidR="00B47BF3" w:rsidRDefault="00B47BF3" w:rsidP="00B47BF3">
      <w:pPr>
        <w:jc w:val="both"/>
        <w:rPr>
          <w:lang w:val="en-GB" w:eastAsia="ja-JP"/>
        </w:rPr>
      </w:pPr>
      <w:r>
        <w:rPr>
          <w:lang w:val="en-GB" w:eastAsia="ja-JP"/>
        </w:rPr>
        <w:t xml:space="preserve">In SS-switching, the power-saving is mostly achieved by setting the SS-set group0 and SS-set group1 with different periodicities. When there is data burst, the NW will command the UE to monitor the SS-set group with dense monitoring and when the data burst ends, the NW will command the UE to monitor the SS-set group with sparse monitoring. This will be very beneficial when the inactivity timer is running. This is because the NW only needs to wait maximum one SS period of sparse monitoring before able to send PDCCH. However, it is preferable if UE can switch to dense monitoring when monitoring PDCCH at the next ON duration, because the UE will otherwise monitor PDCCH sparsely even during On duration, which would be undesirable, due to smaller number of opportunities for addressing the UE. </w:t>
      </w:r>
    </w:p>
    <w:p w:rsidR="00B47BF3" w:rsidRDefault="00B47BF3" w:rsidP="00B47BF3">
      <w:pPr>
        <w:jc w:val="center"/>
        <w:rPr>
          <w:lang w:val="en-GB" w:eastAsia="ja-JP"/>
        </w:rPr>
      </w:pPr>
      <w:r>
        <w:rPr>
          <w:noProof/>
          <w:lang w:val="en-GB" w:eastAsia="ja-JP"/>
        </w:rPr>
        <w:lastRenderedPageBreak/>
        <w:drawing>
          <wp:inline distT="0" distB="0" distL="0" distR="0" wp14:anchorId="08559B35" wp14:editId="57300676">
            <wp:extent cx="4680000" cy="166832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rsidR="00B47BF3" w:rsidRDefault="00B47BF3" w:rsidP="00B47BF3">
      <w:pPr>
        <w:jc w:val="center"/>
        <w:rPr>
          <w:lang w:val="en-GB" w:eastAsia="ja-JP"/>
        </w:rPr>
      </w:pPr>
      <w:r w:rsidRPr="00556D06">
        <w:rPr>
          <w:lang w:val="en-GB" w:eastAsia="ja-JP"/>
        </w:rPr>
        <w:t>F</w:t>
      </w:r>
      <w:r>
        <w:rPr>
          <w:lang w:val="en-GB" w:eastAsia="ja-JP"/>
        </w:rPr>
        <w:t>igure 7. The UE might need to use sparse monitoring during DRX on-duration.</w:t>
      </w:r>
    </w:p>
    <w:p w:rsidR="00B47BF3" w:rsidRDefault="00B47BF3" w:rsidP="00B47BF3">
      <w:pPr>
        <w:jc w:val="both"/>
        <w:rPr>
          <w:lang w:val="en-GB" w:eastAsia="ja-JP"/>
        </w:rPr>
      </w:pPr>
    </w:p>
    <w:p w:rsidR="00B47BF3" w:rsidRDefault="00B47BF3" w:rsidP="00B47BF3">
      <w:pPr>
        <w:jc w:val="both"/>
        <w:rPr>
          <w:lang w:val="en-GB" w:eastAsia="ja-JP"/>
        </w:rPr>
      </w:pPr>
      <w:r>
        <w:rPr>
          <w:lang w:val="en-GB" w:eastAsia="ja-JP"/>
        </w:rPr>
        <w:t xml:space="preserve">Considering the above, the relation between SSSG switching and the DRX needs to be clarified, e.g., a default SS-set group that needs to be assumed at beginning of On-duration. </w:t>
      </w:r>
    </w:p>
    <w:p w:rsidR="00B47BF3" w:rsidRPr="009E272E" w:rsidRDefault="00B47BF3" w:rsidP="00B47BF3">
      <w:pPr>
        <w:pStyle w:val="Proposal"/>
        <w:tabs>
          <w:tab w:val="clear" w:pos="1304"/>
        </w:tabs>
        <w:ind w:left="1701" w:hanging="1701"/>
        <w:rPr>
          <w:rFonts w:asciiTheme="minorHAnsi" w:hAnsiTheme="minorHAnsi" w:cstheme="minorHAnsi"/>
        </w:rPr>
      </w:pPr>
      <w:bookmarkStart w:id="12" w:name="_Toc61540499"/>
      <w:bookmarkStart w:id="13" w:name="_Toc61540500"/>
      <w:bookmarkStart w:id="14" w:name="_Toc61891282"/>
      <w:bookmarkEnd w:id="12"/>
      <w:bookmarkEnd w:id="13"/>
      <w:r>
        <w:rPr>
          <w:rFonts w:asciiTheme="minorHAnsi" w:hAnsiTheme="minorHAnsi" w:cstheme="minorHAnsi"/>
        </w:rPr>
        <w:t>For UE configured with DRX, higher layer signaling can configure SSSG that a UE monitors when coming out of DRX to monitor an ON duration.</w:t>
      </w:r>
      <w:bookmarkEnd w:id="14"/>
      <w:r>
        <w:rPr>
          <w:rFonts w:asciiTheme="minorHAnsi" w:hAnsiTheme="minorHAnsi" w:cstheme="minorHAnsi"/>
        </w:rPr>
        <w:t xml:space="preserve"> </w:t>
      </w:r>
    </w:p>
    <w:p w:rsidR="00B47BF3" w:rsidRPr="005F577B" w:rsidRDefault="00B47BF3" w:rsidP="00B47BF3">
      <w:pPr>
        <w:pStyle w:val="Heading1"/>
        <w:rPr>
          <w:lang w:val="en-US"/>
        </w:rPr>
      </w:pPr>
      <w:bookmarkStart w:id="15" w:name="_Toc5022906"/>
      <w:bookmarkEnd w:id="15"/>
      <w:r>
        <w:rPr>
          <w:lang w:val="en-US"/>
        </w:rPr>
        <w:t>3</w:t>
      </w:r>
      <w:r>
        <w:rPr>
          <w:lang w:val="en-US"/>
        </w:rPr>
        <w:tab/>
      </w:r>
      <w:r w:rsidRPr="005F577B">
        <w:rPr>
          <w:lang w:val="en-US"/>
        </w:rPr>
        <w:t>Conclusion</w:t>
      </w:r>
    </w:p>
    <w:p w:rsidR="00B47BF3" w:rsidRPr="006546DB" w:rsidRDefault="00B47BF3" w:rsidP="00B47BF3">
      <w:pPr>
        <w:pStyle w:val="BodyText"/>
        <w:rPr>
          <w:rFonts w:asciiTheme="minorHAnsi" w:hAnsiTheme="minorHAnsi" w:cstheme="minorHAnsi"/>
        </w:rPr>
      </w:pPr>
      <w:r w:rsidRPr="006546DB">
        <w:rPr>
          <w:rFonts w:asciiTheme="minorHAnsi" w:hAnsiTheme="minorHAnsi" w:cstheme="minorHAnsi"/>
        </w:rPr>
        <w:t xml:space="preserve">In section 2, the following observations and proposals were made: </w:t>
      </w:r>
    </w:p>
    <w:p w:rsidR="00B47BF3" w:rsidRDefault="00B47BF3" w:rsidP="00B47BF3">
      <w:pPr>
        <w:pStyle w:val="TableofFigures"/>
        <w:tabs>
          <w:tab w:val="right" w:leader="dot" w:pos="9629"/>
        </w:tabs>
        <w:rPr>
          <w:rFonts w:asciiTheme="minorHAnsi" w:eastAsiaTheme="minorEastAsia" w:hAnsiTheme="minorHAnsi"/>
          <w:b w:val="0"/>
          <w:noProof/>
        </w:rPr>
      </w:pPr>
      <w:r w:rsidRPr="006546DB">
        <w:rPr>
          <w:rFonts w:asciiTheme="minorHAnsi" w:hAnsiTheme="minorHAnsi" w:cstheme="minorHAnsi"/>
          <w:b w:val="0"/>
          <w:bCs/>
        </w:rPr>
        <w:fldChar w:fldCharType="begin"/>
      </w:r>
      <w:r w:rsidRPr="006546DB">
        <w:rPr>
          <w:rFonts w:asciiTheme="minorHAnsi" w:hAnsiTheme="minorHAnsi" w:cstheme="minorHAnsi"/>
          <w:b w:val="0"/>
          <w:bCs/>
        </w:rPr>
        <w:instrText xml:space="preserve"> TOC \n \h \z \t "Proposal" \c </w:instrText>
      </w:r>
      <w:r w:rsidRPr="006546DB">
        <w:rPr>
          <w:rFonts w:asciiTheme="minorHAnsi" w:hAnsiTheme="minorHAnsi" w:cstheme="minorHAnsi"/>
          <w:b w:val="0"/>
          <w:bCs/>
        </w:rPr>
        <w:fldChar w:fldCharType="separate"/>
      </w:r>
      <w:hyperlink w:anchor="_Toc61891276" w:history="1">
        <w:r w:rsidRPr="004D2147">
          <w:rPr>
            <w:rStyle w:val="Hyperlink"/>
            <w:rFonts w:cstheme="minorHAnsi"/>
            <w:noProof/>
          </w:rPr>
          <w:t>Proposal 1</w:t>
        </w:r>
        <w:r>
          <w:rPr>
            <w:rFonts w:asciiTheme="minorHAnsi" w:eastAsiaTheme="minorEastAsia" w:hAnsiTheme="minorHAnsi"/>
            <w:b w:val="0"/>
            <w:noProof/>
          </w:rPr>
          <w:tab/>
        </w:r>
        <w:r w:rsidRPr="004D2147">
          <w:rPr>
            <w:rStyle w:val="Hyperlink"/>
            <w:rFonts w:cstheme="minorHAnsi"/>
            <w:noProof/>
          </w:rPr>
          <w:t>For Rel-17 UE power savings, specify extension/modification of search space set group switching.</w:t>
        </w:r>
      </w:hyperlink>
    </w:p>
    <w:p w:rsidR="00B47BF3" w:rsidRDefault="00B47BF3" w:rsidP="00B47BF3">
      <w:pPr>
        <w:pStyle w:val="TableofFigures"/>
        <w:tabs>
          <w:tab w:val="right" w:leader="dot" w:pos="9629"/>
        </w:tabs>
        <w:rPr>
          <w:rFonts w:asciiTheme="minorHAnsi" w:eastAsiaTheme="minorEastAsia" w:hAnsiTheme="minorHAnsi"/>
          <w:b w:val="0"/>
          <w:noProof/>
        </w:rPr>
      </w:pPr>
      <w:hyperlink w:anchor="_Toc61891277" w:history="1">
        <w:r w:rsidRPr="004D2147">
          <w:rPr>
            <w:rStyle w:val="Hyperlink"/>
            <w:rFonts w:cstheme="minorHAnsi"/>
            <w:noProof/>
          </w:rPr>
          <w:t>Proposal 2</w:t>
        </w:r>
        <w:r>
          <w:rPr>
            <w:rFonts w:asciiTheme="minorHAnsi" w:eastAsiaTheme="minorEastAsia" w:hAnsiTheme="minorHAnsi"/>
            <w:b w:val="0"/>
            <w:noProof/>
          </w:rPr>
          <w:tab/>
        </w:r>
        <w:r w:rsidRPr="004D2147">
          <w:rPr>
            <w:rStyle w:val="Hyperlink"/>
            <w:rFonts w:cstheme="minorHAnsi"/>
            <w:noProof/>
          </w:rPr>
          <w:t>Support explicit indication of search space set group switching via scheduling DCI format 1_1. FFS : DCI format 0_1.</w:t>
        </w:r>
      </w:hyperlink>
    </w:p>
    <w:p w:rsidR="00B47BF3" w:rsidRDefault="00B47BF3" w:rsidP="00B47BF3">
      <w:pPr>
        <w:pStyle w:val="TableofFigures"/>
        <w:tabs>
          <w:tab w:val="right" w:leader="dot" w:pos="9629"/>
        </w:tabs>
        <w:rPr>
          <w:rFonts w:asciiTheme="minorHAnsi" w:eastAsiaTheme="minorEastAsia" w:hAnsiTheme="minorHAnsi"/>
          <w:b w:val="0"/>
          <w:noProof/>
        </w:rPr>
      </w:pPr>
      <w:hyperlink w:anchor="_Toc61891278" w:history="1">
        <w:r w:rsidRPr="004D2147">
          <w:rPr>
            <w:rStyle w:val="Hyperlink"/>
            <w:rFonts w:cstheme="minorHAnsi"/>
            <w:noProof/>
          </w:rPr>
          <w:t>Proposal 3</w:t>
        </w:r>
        <w:r>
          <w:rPr>
            <w:rFonts w:asciiTheme="minorHAnsi" w:eastAsiaTheme="minorEastAsia" w:hAnsiTheme="minorHAnsi"/>
            <w:b w:val="0"/>
            <w:noProof/>
          </w:rPr>
          <w:tab/>
        </w:r>
        <w:r w:rsidRPr="004D2147">
          <w:rPr>
            <w:rStyle w:val="Hyperlink"/>
            <w:rFonts w:cstheme="minorHAnsi"/>
            <w:noProof/>
          </w:rPr>
          <w:t>For self-scheduling, PCell’s scheduling DCI format 1_1 can indicate SSSG switching for the primary cell. Details of the indication FFS.</w:t>
        </w:r>
      </w:hyperlink>
    </w:p>
    <w:p w:rsidR="00B47BF3" w:rsidRDefault="00B47BF3" w:rsidP="00B47BF3">
      <w:pPr>
        <w:pStyle w:val="TableofFigures"/>
        <w:tabs>
          <w:tab w:val="right" w:leader="dot" w:pos="9629"/>
        </w:tabs>
        <w:rPr>
          <w:rFonts w:asciiTheme="minorHAnsi" w:eastAsiaTheme="minorEastAsia" w:hAnsiTheme="minorHAnsi"/>
          <w:b w:val="0"/>
          <w:noProof/>
        </w:rPr>
      </w:pPr>
      <w:hyperlink w:anchor="_Toc61891279" w:history="1">
        <w:r w:rsidRPr="004D2147">
          <w:rPr>
            <w:rStyle w:val="Hyperlink"/>
            <w:rFonts w:cstheme="minorHAnsi"/>
            <w:noProof/>
          </w:rPr>
          <w:t>Proposal 4</w:t>
        </w:r>
        <w:r>
          <w:rPr>
            <w:rFonts w:asciiTheme="minorHAnsi" w:eastAsiaTheme="minorEastAsia" w:hAnsiTheme="minorHAnsi"/>
            <w:b w:val="0"/>
            <w:noProof/>
          </w:rPr>
          <w:tab/>
        </w:r>
        <w:r w:rsidRPr="004D2147">
          <w:rPr>
            <w:rStyle w:val="Hyperlink"/>
            <w:rFonts w:cstheme="minorHAnsi"/>
            <w:noProof/>
          </w:rPr>
          <w:t>For self-scheduling, an SCell’s scheduling DCI format 1_1 can indicate SSSG switching for the SCell. Details of the indication FFS.</w:t>
        </w:r>
      </w:hyperlink>
    </w:p>
    <w:p w:rsidR="00B47BF3" w:rsidRDefault="00B47BF3" w:rsidP="00B47BF3">
      <w:pPr>
        <w:pStyle w:val="TableofFigures"/>
        <w:tabs>
          <w:tab w:val="right" w:leader="dot" w:pos="9629"/>
        </w:tabs>
        <w:rPr>
          <w:rFonts w:asciiTheme="minorHAnsi" w:eastAsiaTheme="minorEastAsia" w:hAnsiTheme="minorHAnsi"/>
          <w:b w:val="0"/>
          <w:noProof/>
        </w:rPr>
      </w:pPr>
      <w:hyperlink w:anchor="_Toc61891280" w:history="1">
        <w:r w:rsidRPr="004D2147">
          <w:rPr>
            <w:rStyle w:val="Hyperlink"/>
            <w:rFonts w:cstheme="minorHAnsi"/>
            <w:noProof/>
          </w:rPr>
          <w:t>Proposal 5</w:t>
        </w:r>
        <w:r>
          <w:rPr>
            <w:rFonts w:asciiTheme="minorHAnsi" w:eastAsiaTheme="minorEastAsia" w:hAnsiTheme="minorHAnsi"/>
            <w:b w:val="0"/>
            <w:noProof/>
          </w:rPr>
          <w:tab/>
        </w:r>
        <w:r w:rsidRPr="004D2147">
          <w:rPr>
            <w:rStyle w:val="Hyperlink"/>
            <w:rFonts w:cstheme="minorHAnsi"/>
            <w:noProof/>
          </w:rPr>
          <w:t>Study further how to support SSSG switching for multiple groups of cell(s). Details including number of groups FFS.</w:t>
        </w:r>
      </w:hyperlink>
    </w:p>
    <w:p w:rsidR="00B47BF3" w:rsidRDefault="00B47BF3" w:rsidP="00B47BF3">
      <w:pPr>
        <w:pStyle w:val="TableofFigures"/>
        <w:tabs>
          <w:tab w:val="right" w:leader="dot" w:pos="9629"/>
        </w:tabs>
        <w:rPr>
          <w:rFonts w:asciiTheme="minorHAnsi" w:eastAsiaTheme="minorEastAsia" w:hAnsiTheme="minorHAnsi"/>
          <w:b w:val="0"/>
          <w:noProof/>
        </w:rPr>
      </w:pPr>
      <w:hyperlink w:anchor="_Toc61891281" w:history="1">
        <w:r w:rsidRPr="004D2147">
          <w:rPr>
            <w:rStyle w:val="Hyperlink"/>
            <w:rFonts w:cstheme="minorHAnsi"/>
            <w:noProof/>
          </w:rPr>
          <w:t>Proposal 6</w:t>
        </w:r>
        <w:r>
          <w:rPr>
            <w:rFonts w:asciiTheme="minorHAnsi" w:eastAsiaTheme="minorEastAsia" w:hAnsiTheme="minorHAnsi"/>
            <w:b w:val="0"/>
            <w:noProof/>
          </w:rPr>
          <w:tab/>
        </w:r>
        <w:r w:rsidRPr="004D2147">
          <w:rPr>
            <w:rStyle w:val="Hyperlink"/>
            <w:rFonts w:cstheme="minorHAnsi"/>
            <w:noProof/>
          </w:rPr>
          <w:t>HARQ retransmissions should not be delayed due to SSSG switching and mechanisms to avoid this should be supported e.g. a configurable timer-based application delay or HARQ feedback-based application of the SSSG switching command.</w:t>
        </w:r>
      </w:hyperlink>
    </w:p>
    <w:p w:rsidR="00B47BF3" w:rsidRDefault="00B47BF3" w:rsidP="00B47BF3">
      <w:pPr>
        <w:pStyle w:val="TableofFigures"/>
        <w:tabs>
          <w:tab w:val="right" w:leader="dot" w:pos="9629"/>
        </w:tabs>
        <w:rPr>
          <w:rFonts w:asciiTheme="minorHAnsi" w:eastAsiaTheme="minorEastAsia" w:hAnsiTheme="minorHAnsi"/>
          <w:b w:val="0"/>
          <w:noProof/>
        </w:rPr>
      </w:pPr>
      <w:hyperlink w:anchor="_Toc61891282" w:history="1">
        <w:r w:rsidRPr="004D2147">
          <w:rPr>
            <w:rStyle w:val="Hyperlink"/>
            <w:rFonts w:cstheme="minorHAnsi"/>
            <w:noProof/>
          </w:rPr>
          <w:t>Proposal 7</w:t>
        </w:r>
        <w:r>
          <w:rPr>
            <w:rFonts w:asciiTheme="minorHAnsi" w:eastAsiaTheme="minorEastAsia" w:hAnsiTheme="minorHAnsi"/>
            <w:b w:val="0"/>
            <w:noProof/>
          </w:rPr>
          <w:tab/>
        </w:r>
        <w:r w:rsidRPr="004D2147">
          <w:rPr>
            <w:rStyle w:val="Hyperlink"/>
            <w:rFonts w:cstheme="minorHAnsi"/>
            <w:noProof/>
          </w:rPr>
          <w:t>For UE configured with DRX, higher layer signaling can configure SSSG that a UE monitors when coming out of DRX to monitor an ON duration.</w:t>
        </w:r>
      </w:hyperlink>
    </w:p>
    <w:p w:rsidR="00B47BF3" w:rsidRPr="007258DD" w:rsidRDefault="00B47BF3" w:rsidP="00B47BF3">
      <w:pPr>
        <w:pStyle w:val="BodyText"/>
      </w:pPr>
      <w:r w:rsidRPr="006546DB">
        <w:rPr>
          <w:rFonts w:asciiTheme="minorHAnsi" w:hAnsiTheme="minorHAnsi" w:cstheme="minorHAnsi"/>
          <w:b/>
          <w:bCs/>
        </w:rPr>
        <w:fldChar w:fldCharType="end"/>
      </w:r>
      <w:r w:rsidRPr="005F577B">
        <w:rPr>
          <w:b/>
          <w:bCs/>
        </w:rPr>
        <w:t xml:space="preserve"> </w:t>
      </w:r>
    </w:p>
    <w:p w:rsidR="00B47BF3" w:rsidRPr="005F577B" w:rsidRDefault="00B47BF3" w:rsidP="00B47BF3">
      <w:pPr>
        <w:pStyle w:val="Heading1"/>
        <w:rPr>
          <w:lang w:val="en-US"/>
        </w:rPr>
      </w:pPr>
      <w:bookmarkStart w:id="16" w:name="_In-sequence_SDU_delivery"/>
      <w:bookmarkEnd w:id="16"/>
      <w:r>
        <w:rPr>
          <w:lang w:val="en-US"/>
        </w:rPr>
        <w:t>4</w:t>
      </w:r>
      <w:r>
        <w:rPr>
          <w:lang w:val="en-US"/>
        </w:rPr>
        <w:tab/>
      </w:r>
      <w:r w:rsidRPr="005F577B">
        <w:rPr>
          <w:lang w:val="en-US"/>
        </w:rPr>
        <w:t>References</w:t>
      </w:r>
    </w:p>
    <w:p w:rsidR="00B47BF3" w:rsidRDefault="00B47BF3" w:rsidP="00B47BF3">
      <w:pPr>
        <w:pStyle w:val="references"/>
        <w:spacing w:line="240" w:lineRule="auto"/>
      </w:pPr>
      <w:r>
        <w:rPr>
          <w:rFonts w:asciiTheme="minorHAnsi" w:hAnsiTheme="minorHAnsi" w:cstheme="minorHAnsi"/>
          <w:sz w:val="20"/>
          <w:szCs w:val="22"/>
        </w:rPr>
        <w:t>RP-200938, “</w:t>
      </w:r>
      <w:r w:rsidRPr="00C50550">
        <w:rPr>
          <w:rFonts w:asciiTheme="minorHAnsi" w:hAnsiTheme="minorHAnsi" w:cstheme="minorHAnsi"/>
          <w:sz w:val="20"/>
          <w:szCs w:val="22"/>
        </w:rPr>
        <w:t>Revised WID</w:t>
      </w:r>
      <w:r>
        <w:rPr>
          <w:rFonts w:asciiTheme="minorHAnsi" w:hAnsiTheme="minorHAnsi" w:cstheme="minorHAnsi"/>
          <w:sz w:val="20"/>
          <w:szCs w:val="22"/>
        </w:rPr>
        <w:t>:</w:t>
      </w:r>
      <w:r w:rsidRPr="00C50550">
        <w:rPr>
          <w:rFonts w:asciiTheme="minorHAnsi" w:hAnsiTheme="minorHAnsi" w:cstheme="minorHAnsi"/>
          <w:sz w:val="20"/>
          <w:szCs w:val="22"/>
        </w:rPr>
        <w:t xml:space="preserve"> UE Power Saving Enhancements for NR</w:t>
      </w:r>
      <w:r>
        <w:rPr>
          <w:rFonts w:asciiTheme="minorHAnsi" w:hAnsiTheme="minorHAnsi" w:cstheme="minorHAnsi"/>
          <w:sz w:val="20"/>
          <w:szCs w:val="22"/>
        </w:rPr>
        <w:t>,” MediaTek Inc., RAN #86.</w:t>
      </w:r>
    </w:p>
    <w:p w:rsidR="00B47BF3" w:rsidRPr="00AD5F93" w:rsidRDefault="00B47BF3" w:rsidP="00B47BF3">
      <w:pPr>
        <w:pStyle w:val="references"/>
        <w:spacing w:line="240" w:lineRule="auto"/>
      </w:pPr>
      <w:r>
        <w:rPr>
          <w:rFonts w:asciiTheme="minorHAnsi" w:hAnsiTheme="minorHAnsi" w:cstheme="minorHAnsi"/>
          <w:sz w:val="20"/>
          <w:szCs w:val="20"/>
        </w:rPr>
        <w:t xml:space="preserve">R1-2009203, “Discussion </w:t>
      </w:r>
      <w:r w:rsidRPr="007C2762">
        <w:rPr>
          <w:rFonts w:asciiTheme="minorHAnsi" w:hAnsiTheme="minorHAnsi" w:cstheme="minorHAnsi"/>
          <w:sz w:val="20"/>
          <w:szCs w:val="20"/>
        </w:rPr>
        <w:t>on potential enhancements for power savings during active time</w:t>
      </w:r>
      <w:r>
        <w:rPr>
          <w:rFonts w:asciiTheme="minorHAnsi" w:hAnsiTheme="minorHAnsi" w:cstheme="minorHAnsi"/>
          <w:sz w:val="20"/>
          <w:szCs w:val="20"/>
        </w:rPr>
        <w:t>,” Ericsson., RAN1 #103e.</w:t>
      </w:r>
    </w:p>
    <w:p w:rsidR="00B47BF3" w:rsidRDefault="00B47BF3" w:rsidP="00B47BF3">
      <w:pPr>
        <w:pStyle w:val="references"/>
        <w:numPr>
          <w:ilvl w:val="0"/>
          <w:numId w:val="0"/>
        </w:numPr>
        <w:spacing w:line="240" w:lineRule="auto"/>
        <w:ind w:left="360" w:hanging="360"/>
        <w:rPr>
          <w:rFonts w:asciiTheme="minorHAnsi" w:hAnsiTheme="minorHAnsi" w:cstheme="minorHAnsi"/>
          <w:sz w:val="20"/>
          <w:szCs w:val="20"/>
        </w:rPr>
      </w:pPr>
    </w:p>
    <w:p w:rsidR="00B47BF3" w:rsidRDefault="00B47BF3" w:rsidP="00B47BF3">
      <w:pPr>
        <w:pStyle w:val="references"/>
        <w:numPr>
          <w:ilvl w:val="0"/>
          <w:numId w:val="0"/>
        </w:numPr>
        <w:spacing w:line="240" w:lineRule="auto"/>
        <w:ind w:left="360" w:hanging="360"/>
        <w:rPr>
          <w:rFonts w:asciiTheme="minorHAnsi" w:hAnsiTheme="minorHAnsi" w:cstheme="minorHAnsi"/>
          <w:sz w:val="20"/>
          <w:szCs w:val="20"/>
        </w:rPr>
      </w:pPr>
    </w:p>
    <w:p w:rsidR="00B47BF3" w:rsidRDefault="00B47BF3" w:rsidP="00B47BF3">
      <w:pPr>
        <w:pStyle w:val="references"/>
        <w:numPr>
          <w:ilvl w:val="0"/>
          <w:numId w:val="0"/>
        </w:numPr>
        <w:spacing w:line="240" w:lineRule="auto"/>
        <w:ind w:left="360" w:hanging="360"/>
        <w:rPr>
          <w:rFonts w:asciiTheme="minorHAnsi" w:hAnsiTheme="minorHAnsi" w:cstheme="minorHAnsi"/>
          <w:sz w:val="20"/>
          <w:szCs w:val="20"/>
        </w:rPr>
      </w:pPr>
    </w:p>
    <w:p w:rsidR="00B47BF3" w:rsidRPr="00AD5F93" w:rsidRDefault="00B47BF3" w:rsidP="00B47BF3">
      <w:pPr>
        <w:pStyle w:val="references"/>
        <w:numPr>
          <w:ilvl w:val="0"/>
          <w:numId w:val="0"/>
        </w:numPr>
        <w:spacing w:line="240" w:lineRule="auto"/>
        <w:ind w:left="360" w:hanging="360"/>
        <w:rPr>
          <w:rFonts w:asciiTheme="minorHAnsi" w:hAnsiTheme="minorHAnsi" w:cstheme="minorHAnsi"/>
          <w:b/>
          <w:bCs/>
          <w:sz w:val="20"/>
          <w:szCs w:val="20"/>
        </w:rPr>
      </w:pPr>
      <w:r w:rsidRPr="00AD5F93">
        <w:rPr>
          <w:rFonts w:asciiTheme="minorHAnsi" w:hAnsiTheme="minorHAnsi" w:cstheme="minorHAnsi"/>
          <w:b/>
          <w:bCs/>
          <w:sz w:val="20"/>
          <w:szCs w:val="20"/>
        </w:rPr>
        <w:lastRenderedPageBreak/>
        <w:t>Annex  (Agreed observation from RAN1#103-e)</w:t>
      </w:r>
    </w:p>
    <w:p w:rsidR="00B47BF3" w:rsidRDefault="00B47BF3" w:rsidP="00B47BF3">
      <w:pPr>
        <w:pStyle w:val="references"/>
        <w:numPr>
          <w:ilvl w:val="0"/>
          <w:numId w:val="0"/>
        </w:numPr>
        <w:spacing w:line="240" w:lineRule="auto"/>
        <w:ind w:left="360" w:hanging="360"/>
        <w:rPr>
          <w:rFonts w:asciiTheme="minorHAnsi" w:hAnsiTheme="minorHAnsi" w:cstheme="minorHAnsi"/>
          <w:sz w:val="20"/>
          <w:szCs w:val="20"/>
        </w:rPr>
      </w:pPr>
    </w:p>
    <w:p w:rsidR="00B47BF3" w:rsidRPr="00AD5F93" w:rsidRDefault="00B47BF3" w:rsidP="00B47BF3">
      <w:pPr>
        <w:spacing w:after="0" w:line="240" w:lineRule="auto"/>
        <w:rPr>
          <w:rFonts w:ascii="Times New Roman" w:eastAsia="Times New Roman" w:hAnsi="Times New Roman" w:cs="Times New Roman"/>
          <w:sz w:val="20"/>
          <w:szCs w:val="20"/>
          <w:highlight w:val="green"/>
          <w:lang w:eastAsia="x-none"/>
        </w:rPr>
      </w:pPr>
      <w:r w:rsidRPr="00AD5F93">
        <w:rPr>
          <w:rFonts w:ascii="Times New Roman" w:eastAsia="Times New Roman" w:hAnsi="Times New Roman" w:cs="Times New Roman"/>
          <w:sz w:val="20"/>
          <w:szCs w:val="20"/>
          <w:highlight w:val="green"/>
          <w:lang w:eastAsia="x-none"/>
        </w:rPr>
        <w:t>Agreements:</w:t>
      </w:r>
    </w:p>
    <w:p w:rsidR="00B47BF3" w:rsidRPr="00AD5F93" w:rsidRDefault="00B47BF3" w:rsidP="00B47BF3">
      <w:pPr>
        <w:suppressAutoHyphens/>
        <w:overflowPunct w:val="0"/>
        <w:autoSpaceDE w:val="0"/>
        <w:spacing w:after="0" w:line="240" w:lineRule="auto"/>
        <w:textAlignment w:val="baseline"/>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 xml:space="preserve">Observation: </w:t>
      </w:r>
    </w:p>
    <w:p w:rsidR="00B47BF3" w:rsidRPr="00AD5F93" w:rsidRDefault="00B47BF3" w:rsidP="00B47BF3">
      <w:pPr>
        <w:suppressAutoHyphens/>
        <w:overflowPunct w:val="0"/>
        <w:autoSpaceDE w:val="0"/>
        <w:spacing w:after="0" w:line="240" w:lineRule="auto"/>
        <w:textAlignment w:val="baseline"/>
        <w:rPr>
          <w:rFonts w:ascii="Times New Roman" w:eastAsia="Times New Roman" w:hAnsi="Times New Roman" w:cs="Times New Roman"/>
          <w:bCs/>
          <w:sz w:val="20"/>
          <w:szCs w:val="20"/>
          <w:lang w:eastAsia="ar-SA"/>
        </w:rPr>
      </w:pPr>
    </w:p>
    <w:p w:rsidR="00B47BF3" w:rsidRPr="00AD5F93" w:rsidRDefault="00B47BF3" w:rsidP="00B47BF3">
      <w:pPr>
        <w:numPr>
          <w:ilvl w:val="0"/>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Each of the following schemes is individually shown to be beneficial for UE power saving compared to the baseline.</w:t>
      </w:r>
    </w:p>
    <w:p w:rsidR="00B47BF3" w:rsidRPr="00AD5F93" w:rsidRDefault="00B47BF3" w:rsidP="00B47BF3">
      <w:pPr>
        <w:numPr>
          <w:ilvl w:val="1"/>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Dynamically switching search space set</w:t>
      </w:r>
    </w:p>
    <w:p w:rsidR="00B47BF3" w:rsidRPr="00AD5F93" w:rsidRDefault="00B47BF3" w:rsidP="00B47BF3">
      <w:pPr>
        <w:numPr>
          <w:ilvl w:val="1"/>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Dynamically skipping PDCCH monitoring for a certain duration or until next DRX ON</w:t>
      </w:r>
    </w:p>
    <w:p w:rsidR="00B47BF3" w:rsidRPr="00AD5F93" w:rsidRDefault="00B47BF3" w:rsidP="00B47BF3">
      <w:pPr>
        <w:numPr>
          <w:ilvl w:val="0"/>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At least the following Rel-15 and/or Rel-16 power saving solutions have been utilized for baseline,</w:t>
      </w:r>
    </w:p>
    <w:p w:rsidR="00B47BF3" w:rsidRPr="00AD5F93" w:rsidRDefault="00B47BF3" w:rsidP="00B47BF3">
      <w:pPr>
        <w:numPr>
          <w:ilvl w:val="1"/>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For eMBB traffic,</w:t>
      </w:r>
    </w:p>
    <w:p w:rsidR="00B47BF3" w:rsidRPr="00AD5F93" w:rsidRDefault="00B47BF3" w:rsidP="00B47BF3">
      <w:pPr>
        <w:numPr>
          <w:ilvl w:val="2"/>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 xml:space="preserve">DRX setting(including using short DRX or long DRX with a short IAT </w:t>
      </w:r>
      <w:r w:rsidRPr="00AD5F93">
        <w:rPr>
          <w:rFonts w:ascii="Times New Roman" w:eastAsia="Times New Roman" w:hAnsi="Times New Roman" w:cs="Times New Roman"/>
          <w:bCs/>
          <w:color w:val="4472C4"/>
          <w:sz w:val="20"/>
          <w:szCs w:val="20"/>
          <w:lang w:eastAsia="ar-SA"/>
        </w:rPr>
        <w:t>or long IAT</w:t>
      </w:r>
      <w:r w:rsidRPr="00AD5F93">
        <w:rPr>
          <w:rFonts w:ascii="Times New Roman" w:eastAsia="Times New Roman" w:hAnsi="Times New Roman" w:cs="Times New Roman"/>
          <w:bCs/>
          <w:sz w:val="20"/>
          <w:szCs w:val="20"/>
          <w:lang w:eastAsia="ar-SA"/>
        </w:rPr>
        <w:t>), Wake-up signal, Cross-slot scheduling, CA/Scell dormancy, MAC-CE skipping, BWP switching</w:t>
      </w:r>
    </w:p>
    <w:p w:rsidR="00B47BF3" w:rsidRPr="00AD5F93" w:rsidRDefault="00B47BF3" w:rsidP="00B47BF3">
      <w:pPr>
        <w:numPr>
          <w:ilvl w:val="1"/>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For VoIP traffic,</w:t>
      </w:r>
    </w:p>
    <w:p w:rsidR="00B47BF3" w:rsidRPr="00AD5F93" w:rsidRDefault="00B47BF3" w:rsidP="00B47BF3">
      <w:pPr>
        <w:numPr>
          <w:ilvl w:val="2"/>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DRX setting(only long DRX cycle with a short IAT), Wake-up signal,  Cross-slot scheduling, MAC-CE skipping</w:t>
      </w:r>
    </w:p>
    <w:p w:rsidR="00B47BF3" w:rsidRPr="00AD5F93" w:rsidRDefault="00B47BF3" w:rsidP="00B47BF3">
      <w:pPr>
        <w:numPr>
          <w:ilvl w:val="1"/>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For IM traffic,</w:t>
      </w:r>
    </w:p>
    <w:p w:rsidR="00B47BF3" w:rsidRPr="00AD5F93" w:rsidRDefault="00B47BF3" w:rsidP="00B47BF3">
      <w:pPr>
        <w:numPr>
          <w:ilvl w:val="2"/>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DRX setting(long DRX cycle [with a short IAT]), Wake-up signal</w:t>
      </w:r>
    </w:p>
    <w:p w:rsidR="00B47BF3" w:rsidRPr="00AD5F93" w:rsidRDefault="00B47BF3" w:rsidP="00B47BF3">
      <w:pPr>
        <w:numPr>
          <w:ilvl w:val="1"/>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For intensive eMBB traffic,</w:t>
      </w:r>
    </w:p>
    <w:p w:rsidR="00B47BF3" w:rsidRPr="00AD5F93" w:rsidRDefault="00B47BF3" w:rsidP="00B47BF3">
      <w:pPr>
        <w:numPr>
          <w:ilvl w:val="2"/>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DRX setting(including using short DRX or long DRX with a short IAT), Wake-up signal, Cross-slot scheduling, [CA/Scell dormancy], MAC-CE skipping, BWP switching</w:t>
      </w:r>
    </w:p>
    <w:p w:rsidR="00B47BF3" w:rsidRPr="00AD5F93" w:rsidRDefault="00B47BF3" w:rsidP="00B47BF3">
      <w:pPr>
        <w:numPr>
          <w:ilvl w:val="2"/>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 xml:space="preserve">Note: intensive eMBB traffic is optional and companies may use FTP model 3 with different packet size and mean data arrival time, e.g., 15ms, 30ms, 50ms or 100ms. </w:t>
      </w:r>
    </w:p>
    <w:p w:rsidR="00B47BF3" w:rsidRPr="00AD5F93" w:rsidRDefault="00B47BF3" w:rsidP="00B47BF3">
      <w:pPr>
        <w:numPr>
          <w:ilvl w:val="0"/>
          <w:numId w:val="5"/>
        </w:numPr>
        <w:overflowPunct w:val="0"/>
        <w:autoSpaceDE w:val="0"/>
        <w:autoSpaceDN w:val="0"/>
        <w:spacing w:after="0" w:line="240" w:lineRule="auto"/>
        <w:rPr>
          <w:rFonts w:ascii="Times New Roman" w:eastAsia="Times New Roman" w:hAnsi="Times New Roman" w:cs="Times New Roman"/>
          <w:bCs/>
          <w:sz w:val="20"/>
          <w:szCs w:val="20"/>
          <w:lang w:eastAsia="ar-SA"/>
        </w:rPr>
      </w:pPr>
      <w:r w:rsidRPr="00AD5F93">
        <w:rPr>
          <w:rFonts w:ascii="Times New Roman" w:eastAsia="Times New Roman" w:hAnsi="Times New Roman" w:cs="Times New Roman"/>
          <w:bCs/>
          <w:sz w:val="20"/>
          <w:szCs w:val="20"/>
          <w:lang w:eastAsia="ar-SA"/>
        </w:rPr>
        <w:t xml:space="preserve">Note 1: For Search space switching, switching from 1slot monitoring to 2, 4, 8, </w:t>
      </w:r>
      <w:r w:rsidRPr="00AD5F93">
        <w:rPr>
          <w:rFonts w:ascii="Times New Roman" w:eastAsia="Times New Roman" w:hAnsi="Times New Roman" w:cs="Times New Roman"/>
          <w:bCs/>
          <w:color w:val="00B0F0"/>
          <w:sz w:val="20"/>
          <w:szCs w:val="20"/>
          <w:lang w:eastAsia="ar-SA"/>
        </w:rPr>
        <w:t>10,</w:t>
      </w:r>
      <w:r w:rsidRPr="00AD5F93">
        <w:rPr>
          <w:rFonts w:ascii="Times New Roman" w:eastAsia="Times New Roman" w:hAnsi="Times New Roman" w:cs="Times New Roman"/>
          <w:bCs/>
          <w:sz w:val="20"/>
          <w:szCs w:val="20"/>
          <w:lang w:eastAsia="ar-SA"/>
        </w:rPr>
        <w:t xml:space="preserve"> </w:t>
      </w:r>
      <w:r w:rsidRPr="00AD5F93">
        <w:rPr>
          <w:rFonts w:ascii="Times New Roman" w:eastAsia="Times New Roman" w:hAnsi="Times New Roman" w:cs="Times New Roman"/>
          <w:bCs/>
          <w:color w:val="00B0F0"/>
          <w:sz w:val="20"/>
          <w:szCs w:val="20"/>
          <w:lang w:eastAsia="ar-SA"/>
        </w:rPr>
        <w:t>16</w:t>
      </w:r>
      <w:r w:rsidRPr="00AD5F93">
        <w:rPr>
          <w:rFonts w:ascii="Times New Roman" w:eastAsia="Times New Roman" w:hAnsi="Times New Roman" w:cs="Times New Roman"/>
          <w:bCs/>
          <w:sz w:val="20"/>
          <w:szCs w:val="20"/>
          <w:lang w:eastAsia="ar-SA"/>
        </w:rPr>
        <w:t xml:space="preserve"> or 32 slot with 30kHz SCS (FR1) and 120kHz (FR2) is utilized.</w:t>
      </w:r>
    </w:p>
    <w:p w:rsidR="00B47BF3" w:rsidRPr="00AD5F93" w:rsidRDefault="00B47BF3" w:rsidP="00B47BF3">
      <w:pPr>
        <w:numPr>
          <w:ilvl w:val="0"/>
          <w:numId w:val="5"/>
        </w:numPr>
        <w:spacing w:after="0" w:line="240" w:lineRule="auto"/>
        <w:rPr>
          <w:rFonts w:ascii="Times New Roman" w:eastAsia="Times New Roman" w:hAnsi="Times New Roman" w:cs="Times New Roman"/>
          <w:bCs/>
          <w:sz w:val="20"/>
          <w:szCs w:val="20"/>
        </w:rPr>
      </w:pPr>
      <w:r w:rsidRPr="00AD5F93">
        <w:rPr>
          <w:rFonts w:ascii="Times New Roman" w:eastAsia="Times New Roman" w:hAnsi="Times New Roman" w:cs="Times New Roman"/>
          <w:bCs/>
          <w:sz w:val="20"/>
          <w:szCs w:val="20"/>
        </w:rPr>
        <w:t xml:space="preserve">Note 2: For PDCCH skipping , skipping 2ms, 4ms, 5ms, 8ms, 15ms, 16ms, </w:t>
      </w:r>
      <w:r w:rsidRPr="00AD5F93">
        <w:rPr>
          <w:rFonts w:ascii="Times New Roman" w:eastAsia="Times New Roman" w:hAnsi="Times New Roman" w:cs="Times New Roman"/>
          <w:bCs/>
          <w:color w:val="00B0F0"/>
          <w:sz w:val="20"/>
          <w:szCs w:val="20"/>
        </w:rPr>
        <w:t>32ms,</w:t>
      </w:r>
      <w:r w:rsidRPr="00AD5F93">
        <w:rPr>
          <w:rFonts w:ascii="Times New Roman" w:eastAsia="Times New Roman" w:hAnsi="Times New Roman" w:cs="Times New Roman"/>
          <w:bCs/>
          <w:sz w:val="20"/>
          <w:szCs w:val="20"/>
        </w:rPr>
        <w:t xml:space="preserve">  </w:t>
      </w:r>
      <w:r w:rsidRPr="00AD5F93">
        <w:rPr>
          <w:rFonts w:ascii="Times New Roman" w:eastAsia="Times New Roman" w:hAnsi="Times New Roman" w:cs="Times New Roman"/>
          <w:bCs/>
          <w:color w:val="00B0F0"/>
          <w:sz w:val="20"/>
          <w:szCs w:val="20"/>
        </w:rPr>
        <w:t xml:space="preserve">64ms </w:t>
      </w:r>
      <w:r w:rsidRPr="00AD5F93">
        <w:rPr>
          <w:rFonts w:ascii="Times New Roman" w:eastAsia="Times New Roman" w:hAnsi="Times New Roman" w:cs="Times New Roman"/>
          <w:bCs/>
          <w:sz w:val="20"/>
          <w:szCs w:val="20"/>
        </w:rPr>
        <w:t xml:space="preserve">or </w:t>
      </w:r>
      <w:r w:rsidRPr="00AD5F93">
        <w:rPr>
          <w:rFonts w:ascii="Times New Roman" w:eastAsia="Times New Roman" w:hAnsi="Times New Roman" w:cs="Times New Roman"/>
          <w:bCs/>
          <w:color w:val="00B0F0"/>
          <w:sz w:val="20"/>
          <w:szCs w:val="20"/>
        </w:rPr>
        <w:t xml:space="preserve">to </w:t>
      </w:r>
      <w:r w:rsidRPr="00AD5F93">
        <w:rPr>
          <w:rFonts w:ascii="Times New Roman" w:eastAsia="Times New Roman" w:hAnsi="Times New Roman" w:cs="Times New Roman"/>
          <w:bCs/>
          <w:sz w:val="20"/>
          <w:szCs w:val="20"/>
        </w:rPr>
        <w:t>next DRX cycle is utilized</w:t>
      </w:r>
    </w:p>
    <w:p w:rsidR="00B47BF3" w:rsidRPr="00AD5F93" w:rsidRDefault="00B47BF3" w:rsidP="00B47BF3">
      <w:pPr>
        <w:numPr>
          <w:ilvl w:val="0"/>
          <w:numId w:val="5"/>
        </w:numPr>
        <w:spacing w:after="0" w:line="240" w:lineRule="auto"/>
        <w:rPr>
          <w:rFonts w:ascii="Times New Roman" w:eastAsia="Times New Roman" w:hAnsi="Times New Roman" w:cs="Times New Roman"/>
          <w:bCs/>
          <w:sz w:val="20"/>
          <w:szCs w:val="20"/>
        </w:rPr>
      </w:pPr>
      <w:r w:rsidRPr="00AD5F93">
        <w:rPr>
          <w:rFonts w:ascii="Times New Roman" w:eastAsia="Times New Roman" w:hAnsi="Times New Roman" w:cs="Times New Roman"/>
          <w:bCs/>
          <w:sz w:val="20"/>
          <w:szCs w:val="20"/>
        </w:rPr>
        <w:t>Note 3: the baseline assumed may vary across companies</w:t>
      </w:r>
    </w:p>
    <w:p w:rsidR="00B47BF3" w:rsidRPr="00381CEC" w:rsidRDefault="00B47BF3" w:rsidP="00B47BF3">
      <w:pPr>
        <w:pStyle w:val="references"/>
        <w:numPr>
          <w:ilvl w:val="0"/>
          <w:numId w:val="0"/>
        </w:numPr>
        <w:spacing w:line="240" w:lineRule="auto"/>
        <w:ind w:left="360" w:hanging="360"/>
      </w:pPr>
    </w:p>
    <w:p w:rsidR="00C970B1" w:rsidRDefault="00C970B1">
      <w:bookmarkStart w:id="17" w:name="_GoBack"/>
      <w:bookmarkEnd w:id="17"/>
    </w:p>
    <w:sectPr w:rsidR="00C970B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F3B" w:rsidRDefault="00B47B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F3B" w:rsidRDefault="00B47B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CC8563A"/>
    <w:multiLevelType w:val="hybridMultilevel"/>
    <w:tmpl w:val="33A4803C"/>
    <w:lvl w:ilvl="0" w:tplc="8D1292AC">
      <w:start w:val="1"/>
      <w:numFmt w:val="bullet"/>
      <w:lvlText w:val=""/>
      <w:lvlJc w:val="left"/>
      <w:pPr>
        <w:ind w:left="927" w:hanging="360"/>
      </w:pPr>
      <w:rPr>
        <w:rFonts w:ascii="Wingdings" w:hAnsi="Wingdings" w:hint="default"/>
      </w:rPr>
    </w:lvl>
    <w:lvl w:ilvl="1" w:tplc="04090005">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BD51E13"/>
    <w:multiLevelType w:val="multilevel"/>
    <w:tmpl w:val="D3A63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BF3"/>
    <w:rsid w:val="00B47BF3"/>
    <w:rsid w:val="00C97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DAF5E-25B6-4F60-AED7-06DBE1AF3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BF3"/>
  </w:style>
  <w:style w:type="paragraph" w:styleId="Heading1">
    <w:name w:val="heading 1"/>
    <w:next w:val="Normal"/>
    <w:link w:val="Heading1Char"/>
    <w:qFormat/>
    <w:rsid w:val="00B47B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47BF3"/>
    <w:pPr>
      <w:pBdr>
        <w:top w:val="none" w:sz="0" w:space="0" w:color="auto"/>
      </w:pBdr>
      <w:spacing w:before="180"/>
      <w:outlineLvl w:val="1"/>
    </w:pPr>
    <w:rPr>
      <w:sz w:val="32"/>
    </w:rPr>
  </w:style>
  <w:style w:type="paragraph" w:styleId="Heading3">
    <w:name w:val="heading 3"/>
    <w:basedOn w:val="Heading2"/>
    <w:next w:val="Normal"/>
    <w:link w:val="Heading3Char"/>
    <w:qFormat/>
    <w:rsid w:val="00B47BF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BF3"/>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47BF3"/>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B47BF3"/>
    <w:rPr>
      <w:rFonts w:ascii="Arial" w:eastAsia="Times New Roman" w:hAnsi="Arial" w:cs="Times New Roman"/>
      <w:sz w:val="28"/>
      <w:szCs w:val="20"/>
      <w:lang w:val="en-GB" w:eastAsia="ja-JP"/>
    </w:rPr>
  </w:style>
  <w:style w:type="paragraph" w:customStyle="1" w:styleId="3GPPHeader">
    <w:name w:val="3GPP_Header"/>
    <w:basedOn w:val="BodyText"/>
    <w:rsid w:val="00B47BF3"/>
    <w:pPr>
      <w:tabs>
        <w:tab w:val="left" w:pos="1701"/>
        <w:tab w:val="right" w:pos="9639"/>
      </w:tabs>
      <w:spacing w:after="240"/>
    </w:pPr>
    <w:rPr>
      <w:b/>
      <w:sz w:val="24"/>
    </w:rPr>
  </w:style>
  <w:style w:type="paragraph" w:styleId="Footer">
    <w:name w:val="footer"/>
    <w:basedOn w:val="Header"/>
    <w:link w:val="FooterChar"/>
    <w:rsid w:val="00B47BF3"/>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47BF3"/>
    <w:rPr>
      <w:rFonts w:ascii="Arial" w:eastAsia="Times New Roman" w:hAnsi="Arial" w:cs="Times New Roman"/>
      <w:b/>
      <w:i/>
      <w:noProof/>
      <w:sz w:val="18"/>
      <w:szCs w:val="20"/>
      <w:lang w:val="en-GB" w:eastAsia="ja-JP"/>
    </w:rPr>
  </w:style>
  <w:style w:type="character" w:styleId="PageNumber">
    <w:name w:val="page number"/>
    <w:basedOn w:val="DefaultParagraphFont"/>
    <w:rsid w:val="00B47BF3"/>
  </w:style>
  <w:style w:type="paragraph" w:styleId="BodyText">
    <w:name w:val="Body Text"/>
    <w:basedOn w:val="Normal"/>
    <w:link w:val="BodyTextChar"/>
    <w:rsid w:val="00B47BF3"/>
    <w:pPr>
      <w:spacing w:after="120"/>
      <w:jc w:val="both"/>
    </w:pPr>
    <w:rPr>
      <w:rFonts w:ascii="Arial" w:hAnsi="Arial"/>
    </w:rPr>
  </w:style>
  <w:style w:type="character" w:customStyle="1" w:styleId="BodyTextChar">
    <w:name w:val="Body Text Char"/>
    <w:basedOn w:val="DefaultParagraphFont"/>
    <w:link w:val="BodyText"/>
    <w:rsid w:val="00B47BF3"/>
    <w:rPr>
      <w:rFonts w:ascii="Arial" w:hAnsi="Arial"/>
    </w:rPr>
  </w:style>
  <w:style w:type="character" w:styleId="Hyperlink">
    <w:name w:val="Hyperlink"/>
    <w:uiPriority w:val="99"/>
    <w:rsid w:val="00B47BF3"/>
    <w:rPr>
      <w:color w:val="0000FF"/>
      <w:u w:val="single"/>
    </w:rPr>
  </w:style>
  <w:style w:type="paragraph" w:customStyle="1" w:styleId="Proposal">
    <w:name w:val="Proposal"/>
    <w:basedOn w:val="BodyText"/>
    <w:rsid w:val="00B47BF3"/>
    <w:pPr>
      <w:numPr>
        <w:numId w:val="1"/>
      </w:numPr>
      <w:tabs>
        <w:tab w:val="left" w:pos="1701"/>
      </w:tabs>
    </w:pPr>
    <w:rPr>
      <w:b/>
      <w:bCs/>
    </w:rPr>
  </w:style>
  <w:style w:type="paragraph" w:styleId="TableofFigures">
    <w:name w:val="table of figures"/>
    <w:basedOn w:val="BodyText"/>
    <w:next w:val="Normal"/>
    <w:uiPriority w:val="99"/>
    <w:rsid w:val="00B47BF3"/>
    <w:pPr>
      <w:ind w:left="1701" w:hanging="1701"/>
      <w:jc w:val="left"/>
    </w:pPr>
    <w:rPr>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47BF3"/>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B47BF3"/>
    <w:rPr>
      <w:rFonts w:ascii="Calibri" w:eastAsia="Calibri" w:hAnsi="Calibri"/>
      <w:lang w:val="x-none"/>
    </w:rPr>
  </w:style>
  <w:style w:type="paragraph" w:customStyle="1" w:styleId="references">
    <w:name w:val="references"/>
    <w:rsid w:val="00B47BF3"/>
    <w:pPr>
      <w:numPr>
        <w:numId w:val="2"/>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B47B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controlboundarysink">
    <w:name w:val="contentcontrolboundarysink"/>
    <w:basedOn w:val="DefaultParagraphFont"/>
    <w:rsid w:val="00B47BF3"/>
  </w:style>
  <w:style w:type="character" w:customStyle="1" w:styleId="normaltextrun">
    <w:name w:val="normaltextrun"/>
    <w:basedOn w:val="DefaultParagraphFont"/>
    <w:rsid w:val="00B47BF3"/>
  </w:style>
  <w:style w:type="character" w:customStyle="1" w:styleId="eop">
    <w:name w:val="eop"/>
    <w:basedOn w:val="DefaultParagraphFont"/>
    <w:rsid w:val="00B47BF3"/>
  </w:style>
  <w:style w:type="character" w:customStyle="1" w:styleId="tabchar">
    <w:name w:val="tabchar"/>
    <w:basedOn w:val="DefaultParagraphFont"/>
    <w:rsid w:val="00B47BF3"/>
  </w:style>
  <w:style w:type="paragraph" w:styleId="Header">
    <w:name w:val="header"/>
    <w:basedOn w:val="Normal"/>
    <w:link w:val="HeaderChar"/>
    <w:uiPriority w:val="99"/>
    <w:semiHidden/>
    <w:unhideWhenUsed/>
    <w:rsid w:val="00B47B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47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2640</Words>
  <Characters>15053</Characters>
  <Application>Microsoft Office Word</Application>
  <DocSecurity>0</DocSecurity>
  <Lines>125</Lines>
  <Paragraphs>35</Paragraphs>
  <ScaleCrop>false</ScaleCrop>
  <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2021-01-19T06:04:00Z</dcterms:created>
  <dcterms:modified xsi:type="dcterms:W3CDTF">2021-01-19T06:04:00Z</dcterms:modified>
</cp:coreProperties>
</file>